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highlight w:val="none"/>
        </w:rPr>
      </w:pPr>
    </w:p>
    <w:p>
      <w:pPr>
        <w:jc w:val="both"/>
        <w:rPr>
          <w:rFonts w:hint="eastAsia"/>
          <w:bCs/>
          <w:sz w:val="44"/>
          <w:szCs w:val="44"/>
          <w:highlight w:val="none"/>
        </w:rPr>
      </w:pPr>
    </w:p>
    <w:p>
      <w:pPr>
        <w:jc w:val="both"/>
        <w:rPr>
          <w:rFonts w:hint="eastAsia"/>
          <w:bCs/>
          <w:sz w:val="44"/>
          <w:szCs w:val="44"/>
          <w:highlight w:val="none"/>
        </w:rPr>
      </w:pPr>
    </w:p>
    <w:p>
      <w:pPr>
        <w:jc w:val="center"/>
        <w:rPr>
          <w:rFonts w:hint="eastAsia"/>
          <w:b/>
          <w:bCs/>
          <w:sz w:val="44"/>
          <w:highlight w:val="none"/>
        </w:rPr>
      </w:pPr>
    </w:p>
    <w:p>
      <w:pPr>
        <w:spacing w:line="640" w:lineRule="exact"/>
        <w:jc w:val="center"/>
        <w:rPr>
          <w:rFonts w:hint="eastAsia" w:ascii="方正小标宋_GBK" w:hAnsi="方正小标宋_GBK" w:eastAsia="方正小标宋_GBK" w:cs="方正小标宋_GBK"/>
          <w:b w:val="0"/>
          <w:bCs/>
          <w:sz w:val="52"/>
          <w:szCs w:val="52"/>
          <w:highlight w:val="none"/>
        </w:rPr>
      </w:pPr>
      <w:bookmarkStart w:id="0" w:name="_GoBack"/>
      <w:r>
        <w:rPr>
          <w:rFonts w:hint="eastAsia" w:ascii="方正小标宋_GBK" w:hAnsi="方正小标宋_GBK" w:eastAsia="方正小标宋_GBK" w:cs="方正小标宋_GBK"/>
          <w:b w:val="0"/>
          <w:bCs/>
          <w:sz w:val="52"/>
          <w:szCs w:val="52"/>
          <w:highlight w:val="none"/>
          <w:lang w:val="en-US" w:eastAsia="zh-CN"/>
        </w:rPr>
        <w:t>成都市</w:t>
      </w:r>
      <w:r>
        <w:rPr>
          <w:rFonts w:hint="eastAsia" w:ascii="方正小标宋_GBK" w:hAnsi="方正小标宋_GBK" w:eastAsia="方正小标宋_GBK" w:cs="方正小标宋_GBK"/>
          <w:b w:val="0"/>
          <w:bCs/>
          <w:sz w:val="52"/>
          <w:szCs w:val="52"/>
          <w:highlight w:val="none"/>
        </w:rPr>
        <w:t>五一劳动奖章获得者</w:t>
      </w:r>
    </w:p>
    <w:p>
      <w:pPr>
        <w:spacing w:line="640" w:lineRule="exact"/>
        <w:jc w:val="center"/>
        <w:rPr>
          <w:rFonts w:hint="eastAsia" w:ascii="方正小标宋_GBK" w:hAnsi="方正小标宋_GBK" w:eastAsia="方正小标宋_GBK" w:cs="方正小标宋_GBK"/>
          <w:b w:val="0"/>
          <w:bCs/>
          <w:sz w:val="52"/>
          <w:szCs w:val="52"/>
          <w:highlight w:val="none"/>
        </w:rPr>
      </w:pPr>
      <w:r>
        <w:rPr>
          <w:rFonts w:hint="eastAsia" w:ascii="方正小标宋_GBK" w:hAnsi="方正小标宋_GBK" w:eastAsia="方正小标宋_GBK" w:cs="方正小标宋_GBK"/>
          <w:b w:val="0"/>
          <w:bCs/>
          <w:sz w:val="52"/>
          <w:szCs w:val="52"/>
          <w:highlight w:val="none"/>
        </w:rPr>
        <w:t>推荐审批表</w:t>
      </w:r>
      <w:bookmarkEnd w:id="0"/>
    </w:p>
    <w:p>
      <w:pPr>
        <w:jc w:val="center"/>
        <w:rPr>
          <w:rFonts w:hint="eastAsia"/>
          <w:b/>
          <w:bCs/>
          <w:sz w:val="48"/>
          <w:highlight w:val="none"/>
        </w:rPr>
      </w:pPr>
    </w:p>
    <w:p>
      <w:pPr>
        <w:jc w:val="center"/>
        <w:rPr>
          <w:rFonts w:hint="eastAsia"/>
          <w:b/>
          <w:bCs/>
          <w:sz w:val="48"/>
          <w:highlight w:val="none"/>
        </w:rPr>
      </w:pPr>
    </w:p>
    <w:p>
      <w:pPr>
        <w:rPr>
          <w:rFonts w:hint="eastAsia"/>
          <w:b/>
          <w:bCs/>
          <w:sz w:val="48"/>
          <w:highlight w:val="none"/>
        </w:rPr>
      </w:pPr>
    </w:p>
    <w:p>
      <w:pPr>
        <w:spacing w:line="700" w:lineRule="exact"/>
        <w:ind w:firstLine="1920" w:firstLineChars="600"/>
        <w:rPr>
          <w:rFonts w:hint="eastAsia" w:ascii="仿宋_GB2312" w:eastAsia="仿宋_GB2312"/>
          <w:sz w:val="32"/>
          <w:highlight w:val="none"/>
          <w:u w:val="single"/>
        </w:rPr>
      </w:pPr>
      <w:r>
        <w:rPr>
          <w:rFonts w:hint="eastAsia" w:ascii="仿宋_GB2312" w:eastAsia="仿宋_GB2312"/>
          <w:sz w:val="32"/>
          <w:highlight w:val="none"/>
        </w:rPr>
        <w:t>姓    名</w:t>
      </w:r>
      <w:r>
        <w:rPr>
          <w:rFonts w:hint="eastAsia" w:ascii="仿宋_GB2312" w:eastAsia="仿宋_GB2312"/>
          <w:sz w:val="32"/>
          <w:highlight w:val="none"/>
          <w:u w:val="single"/>
        </w:rPr>
        <w:t xml:space="preserve">        </w:t>
      </w:r>
      <w:r>
        <w:rPr>
          <w:rFonts w:hint="eastAsia" w:ascii="仿宋_GB2312" w:eastAsia="仿宋_GB2312"/>
          <w:sz w:val="32"/>
          <w:highlight w:val="none"/>
          <w:u w:val="single"/>
          <w:lang w:val="en-US" w:eastAsia="zh-CN"/>
        </w:rPr>
        <w:t xml:space="preserve"> </w:t>
      </w:r>
      <w:r>
        <w:rPr>
          <w:rFonts w:hint="eastAsia" w:ascii="仿宋_GB2312" w:eastAsia="仿宋_GB2312"/>
          <w:sz w:val="32"/>
          <w:highlight w:val="none"/>
          <w:u w:val="single"/>
        </w:rPr>
        <w:t xml:space="preserve"> </w:t>
      </w:r>
      <w:r>
        <w:rPr>
          <w:rFonts w:hint="eastAsia" w:ascii="仿宋_GB2312" w:eastAsia="仿宋_GB2312"/>
          <w:sz w:val="24"/>
          <w:szCs w:val="21"/>
          <w:highlight w:val="none"/>
          <w:u w:val="single"/>
          <w:lang w:val="en-US" w:eastAsia="zh-CN"/>
        </w:rPr>
        <w:t>肖  曦</w:t>
      </w:r>
      <w:r>
        <w:rPr>
          <w:rFonts w:hint="eastAsia" w:ascii="仿宋_GB2312" w:eastAsia="仿宋_GB2312"/>
          <w:sz w:val="32"/>
          <w:highlight w:val="none"/>
          <w:u w:val="single"/>
        </w:rPr>
        <w:t xml:space="preserve">         </w:t>
      </w:r>
    </w:p>
    <w:p>
      <w:pPr>
        <w:spacing w:line="700" w:lineRule="exact"/>
        <w:ind w:firstLine="1920" w:firstLineChars="600"/>
        <w:rPr>
          <w:rFonts w:hint="eastAsia" w:ascii="仿宋_GB2312" w:eastAsia="仿宋_GB2312"/>
          <w:sz w:val="32"/>
          <w:highlight w:val="none"/>
          <w:u w:val="single"/>
        </w:rPr>
      </w:pPr>
      <w:r>
        <w:rPr>
          <w:rFonts w:hint="eastAsia" w:ascii="仿宋_GB2312" w:eastAsia="仿宋_GB2312"/>
          <w:sz w:val="32"/>
          <w:highlight w:val="none"/>
        </w:rPr>
        <w:t>工作单位</w:t>
      </w:r>
      <w:r>
        <w:rPr>
          <w:rFonts w:hint="eastAsia" w:ascii="仿宋_GB2312" w:eastAsia="仿宋_GB2312"/>
          <w:sz w:val="24"/>
          <w:szCs w:val="21"/>
          <w:highlight w:val="none"/>
          <w:u w:val="single"/>
          <w:lang w:val="en-US" w:eastAsia="zh-CN"/>
        </w:rPr>
        <w:t>新都中铁动力新城建设投资有限公司</w:t>
      </w:r>
      <w:r>
        <w:rPr>
          <w:rFonts w:hint="eastAsia" w:ascii="仿宋_GB2312" w:eastAsia="仿宋_GB2312"/>
          <w:sz w:val="32"/>
          <w:highlight w:val="none"/>
          <w:u w:val="none"/>
        </w:rPr>
        <w:t xml:space="preserve">            </w:t>
      </w:r>
    </w:p>
    <w:p>
      <w:pPr>
        <w:spacing w:line="700" w:lineRule="exact"/>
        <w:ind w:firstLine="1920" w:firstLineChars="600"/>
        <w:rPr>
          <w:rFonts w:hint="eastAsia" w:ascii="仿宋_GB2312" w:eastAsia="仿宋_GB2312"/>
          <w:sz w:val="32"/>
          <w:highlight w:val="none"/>
        </w:rPr>
      </w:pPr>
      <w:r>
        <w:rPr>
          <w:rFonts w:hint="eastAsia" w:ascii="仿宋_GB2312" w:eastAsia="仿宋_GB2312"/>
          <w:sz w:val="32"/>
          <w:highlight w:val="none"/>
        </w:rPr>
        <w:t>单位类型</w:t>
      </w:r>
      <w:r>
        <w:rPr>
          <w:rFonts w:hint="eastAsia" w:ascii="仿宋_GB2312" w:eastAsia="仿宋_GB2312"/>
          <w:sz w:val="32"/>
          <w:highlight w:val="none"/>
          <w:u w:val="single"/>
        </w:rPr>
        <w:t xml:space="preserve">        </w:t>
      </w:r>
      <w:r>
        <w:rPr>
          <w:rFonts w:hint="eastAsia" w:ascii="仿宋_GB2312" w:eastAsia="仿宋_GB2312"/>
          <w:sz w:val="24"/>
          <w:szCs w:val="21"/>
          <w:highlight w:val="none"/>
          <w:u w:val="single"/>
          <w:lang w:val="en-US" w:eastAsia="zh-CN"/>
        </w:rPr>
        <w:t>国有企业</w:t>
      </w:r>
      <w:r>
        <w:rPr>
          <w:rFonts w:hint="eastAsia" w:ascii="仿宋_GB2312" w:eastAsia="仿宋_GB2312"/>
          <w:sz w:val="32"/>
          <w:highlight w:val="none"/>
          <w:u w:val="single"/>
        </w:rPr>
        <w:t xml:space="preserve">          </w:t>
      </w:r>
      <w:r>
        <w:rPr>
          <w:rFonts w:hint="eastAsia" w:ascii="仿宋_GB2312" w:eastAsia="仿宋_GB2312"/>
          <w:sz w:val="32"/>
          <w:highlight w:val="none"/>
          <w:u w:val="none"/>
        </w:rPr>
        <w:t xml:space="preserve">     </w:t>
      </w:r>
    </w:p>
    <w:p>
      <w:pPr>
        <w:spacing w:line="700" w:lineRule="exact"/>
        <w:ind w:firstLine="1920" w:firstLineChars="600"/>
        <w:rPr>
          <w:rFonts w:hint="eastAsia" w:ascii="仿宋_GB2312" w:eastAsia="仿宋_GB2312"/>
          <w:sz w:val="32"/>
          <w:highlight w:val="none"/>
        </w:rPr>
      </w:pPr>
      <w:r>
        <w:rPr>
          <w:rFonts w:hint="eastAsia" w:ascii="仿宋_GB2312" w:eastAsia="仿宋_GB2312"/>
          <w:sz w:val="32"/>
          <w:highlight w:val="none"/>
        </w:rPr>
        <w:t>所属行业</w:t>
      </w:r>
      <w:r>
        <w:rPr>
          <w:rFonts w:hint="eastAsia" w:ascii="仿宋_GB2312" w:eastAsia="仿宋_GB2312"/>
          <w:sz w:val="32"/>
          <w:highlight w:val="none"/>
          <w:u w:val="single"/>
        </w:rPr>
        <w:t xml:space="preserve">          </w:t>
      </w:r>
      <w:r>
        <w:rPr>
          <w:rFonts w:hint="eastAsia" w:ascii="仿宋_GB2312" w:eastAsia="仿宋_GB2312"/>
          <w:sz w:val="24"/>
          <w:szCs w:val="24"/>
          <w:highlight w:val="none"/>
          <w:u w:val="single"/>
          <w:lang w:val="en-US" w:eastAsia="zh-CN"/>
        </w:rPr>
        <w:t>建筑业</w:t>
      </w:r>
      <w:r>
        <w:rPr>
          <w:rFonts w:hint="eastAsia" w:ascii="仿宋_GB2312" w:eastAsia="仿宋_GB2312"/>
          <w:sz w:val="32"/>
          <w:highlight w:val="none"/>
          <w:u w:val="single"/>
        </w:rPr>
        <w:t xml:space="preserve">        </w:t>
      </w:r>
      <w:r>
        <w:rPr>
          <w:rFonts w:hint="eastAsia" w:ascii="仿宋_GB2312" w:eastAsia="仿宋_GB2312"/>
          <w:sz w:val="32"/>
          <w:highlight w:val="none"/>
          <w:u w:val="single"/>
          <w:lang w:val="en-US" w:eastAsia="zh-CN"/>
        </w:rPr>
        <w:t xml:space="preserve"> </w:t>
      </w:r>
      <w:r>
        <w:rPr>
          <w:rFonts w:hint="eastAsia" w:ascii="仿宋_GB2312" w:eastAsia="仿宋_GB2312"/>
          <w:sz w:val="32"/>
          <w:highlight w:val="none"/>
          <w:u w:val="single"/>
        </w:rPr>
        <w:t xml:space="preserve"> </w:t>
      </w:r>
      <w:r>
        <w:rPr>
          <w:rFonts w:hint="eastAsia" w:ascii="仿宋_GB2312" w:eastAsia="仿宋_GB2312"/>
          <w:sz w:val="32"/>
          <w:highlight w:val="none"/>
          <w:u w:val="none"/>
        </w:rPr>
        <w:t xml:space="preserve">   </w:t>
      </w:r>
    </w:p>
    <w:p>
      <w:pPr>
        <w:spacing w:line="700" w:lineRule="exact"/>
        <w:ind w:firstLine="1920" w:firstLineChars="600"/>
        <w:rPr>
          <w:rFonts w:hint="eastAsia" w:ascii="仿宋_GB2312" w:eastAsia="仿宋_GB2312"/>
          <w:sz w:val="32"/>
          <w:highlight w:val="none"/>
          <w:u w:val="single"/>
        </w:rPr>
      </w:pPr>
      <w:r>
        <w:rPr>
          <w:rFonts w:hint="eastAsia" w:ascii="仿宋_GB2312" w:eastAsia="仿宋_GB2312"/>
          <w:sz w:val="32"/>
          <w:highlight w:val="none"/>
        </w:rPr>
        <w:t>推荐单位</w:t>
      </w:r>
      <w:r>
        <w:rPr>
          <w:rFonts w:hint="eastAsia" w:ascii="仿宋_GB2312" w:eastAsia="仿宋_GB2312"/>
          <w:sz w:val="32"/>
          <w:highlight w:val="none"/>
          <w:u w:val="single"/>
        </w:rPr>
        <w:t xml:space="preserve"> </w:t>
      </w:r>
      <w:r>
        <w:rPr>
          <w:rFonts w:hint="eastAsia" w:ascii="仿宋_GB2312" w:eastAsia="仿宋_GB2312"/>
          <w:sz w:val="32"/>
          <w:highlight w:val="none"/>
          <w:u w:val="single"/>
          <w:lang w:val="en-US" w:eastAsia="zh-CN"/>
        </w:rPr>
        <w:t xml:space="preserve"> </w:t>
      </w:r>
      <w:r>
        <w:rPr>
          <w:rFonts w:hint="eastAsia" w:ascii="仿宋_GB2312" w:eastAsia="仿宋_GB2312"/>
          <w:sz w:val="24"/>
          <w:szCs w:val="24"/>
          <w:highlight w:val="none"/>
          <w:u w:val="single"/>
          <w:lang w:val="en-US" w:eastAsia="zh-CN"/>
        </w:rPr>
        <w:t>中铁城市发展投资集团有限公司</w:t>
      </w:r>
      <w:r>
        <w:rPr>
          <w:rFonts w:hint="eastAsia" w:ascii="仿宋_GB2312" w:eastAsia="仿宋_GB2312"/>
          <w:sz w:val="32"/>
          <w:highlight w:val="none"/>
          <w:u w:val="single"/>
        </w:rPr>
        <w:t xml:space="preserve">  </w:t>
      </w:r>
      <w:r>
        <w:rPr>
          <w:rFonts w:hint="eastAsia" w:ascii="仿宋_GB2312" w:eastAsia="仿宋_GB2312"/>
          <w:sz w:val="32"/>
          <w:highlight w:val="none"/>
          <w:u w:val="none"/>
        </w:rPr>
        <w:t xml:space="preserve">            </w:t>
      </w:r>
      <w:r>
        <w:rPr>
          <w:rFonts w:hint="eastAsia" w:ascii="仿宋_GB2312" w:eastAsia="仿宋_GB2312"/>
          <w:sz w:val="32"/>
          <w:highlight w:val="none"/>
          <w:u w:val="single"/>
        </w:rPr>
        <w:t xml:space="preserve">        </w:t>
      </w:r>
    </w:p>
    <w:p>
      <w:pPr>
        <w:ind w:firstLine="1920" w:firstLineChars="600"/>
        <w:rPr>
          <w:rFonts w:hint="eastAsia" w:ascii="仿宋_GB2312" w:eastAsia="仿宋_GB2312"/>
          <w:sz w:val="32"/>
          <w:highlight w:val="none"/>
          <w:u w:val="single"/>
        </w:rPr>
      </w:pPr>
    </w:p>
    <w:p>
      <w:pPr>
        <w:rPr>
          <w:rFonts w:hint="eastAsia"/>
          <w:sz w:val="32"/>
          <w:highlight w:val="none"/>
          <w:u w:val="single"/>
        </w:rPr>
      </w:pPr>
    </w:p>
    <w:p>
      <w:pPr>
        <w:rPr>
          <w:rFonts w:hint="eastAsia"/>
          <w:sz w:val="32"/>
          <w:highlight w:val="none"/>
          <w:u w:val="single"/>
        </w:rPr>
      </w:pPr>
    </w:p>
    <w:p>
      <w:pPr>
        <w:spacing w:line="360" w:lineRule="auto"/>
        <w:jc w:val="center"/>
        <w:rPr>
          <w:rFonts w:hint="eastAsia" w:ascii="仿宋_GB2312" w:eastAsia="仿宋_GB2312"/>
          <w:sz w:val="32"/>
          <w:szCs w:val="32"/>
          <w:highlight w:val="none"/>
        </w:rPr>
      </w:pPr>
      <w:r>
        <w:rPr>
          <w:rFonts w:hint="eastAsia" w:ascii="仿宋_GB2312" w:eastAsia="仿宋_GB2312"/>
          <w:sz w:val="32"/>
          <w:szCs w:val="32"/>
          <w:highlight w:val="none"/>
        </w:rPr>
        <w:t>填报日期</w:t>
      </w:r>
      <w:r>
        <w:rPr>
          <w:rFonts w:hint="eastAsia" w:ascii="仿宋_GB2312" w:eastAsia="仿宋_GB2312"/>
          <w:sz w:val="32"/>
          <w:szCs w:val="32"/>
          <w:highlight w:val="none"/>
          <w:lang w:val="en-US" w:eastAsia="zh-CN"/>
        </w:rPr>
        <w:t>2022</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日</w:t>
      </w:r>
    </w:p>
    <w:p>
      <w:pPr>
        <w:jc w:val="center"/>
        <w:rPr>
          <w:rFonts w:hint="eastAsia" w:ascii="华文中宋" w:hAnsi="华文中宋" w:eastAsia="华文中宋" w:cs="华文中宋"/>
          <w:b/>
          <w:bCs/>
          <w:sz w:val="44"/>
          <w:highlight w:val="none"/>
        </w:rPr>
      </w:pPr>
      <w:r>
        <w:rPr>
          <w:rFonts w:hint="eastAsia" w:ascii="华文中宋" w:hAnsi="华文中宋" w:eastAsia="华文中宋" w:cs="华文中宋"/>
          <w:bCs/>
          <w:spacing w:val="20"/>
          <w:sz w:val="32"/>
          <w:highlight w:val="none"/>
        </w:rPr>
        <w:t>成都市总工会制</w:t>
      </w:r>
    </w:p>
    <w:p>
      <w:pPr>
        <w:rPr>
          <w:rFonts w:hint="eastAsia"/>
          <w:b/>
          <w:bCs/>
          <w:sz w:val="44"/>
          <w:highlight w:val="none"/>
        </w:rPr>
      </w:pPr>
    </w:p>
    <w:tbl>
      <w:tblPr>
        <w:tblStyle w:val="3"/>
        <w:tblW w:w="54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
        <w:gridCol w:w="58"/>
        <w:gridCol w:w="671"/>
        <w:gridCol w:w="358"/>
        <w:gridCol w:w="643"/>
        <w:gridCol w:w="419"/>
        <w:gridCol w:w="1088"/>
        <w:gridCol w:w="24"/>
        <w:gridCol w:w="1025"/>
        <w:gridCol w:w="24"/>
        <w:gridCol w:w="502"/>
        <w:gridCol w:w="1178"/>
        <w:gridCol w:w="75"/>
        <w:gridCol w:w="313"/>
        <w:gridCol w:w="1318"/>
        <w:gridCol w:w="31"/>
        <w:gridCol w:w="1898"/>
        <w:gridCol w:w="22"/>
        <w:gridCol w:w="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 w:type="pct"/>
          <w:cantSplit/>
          <w:jc w:val="center"/>
        </w:trPr>
        <w:tc>
          <w:tcPr>
            <w:tcW w:w="446" w:type="pct"/>
            <w:gridSpan w:val="3"/>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姓名</w:t>
            </w:r>
          </w:p>
        </w:tc>
        <w:tc>
          <w:tcPr>
            <w:tcW w:w="722" w:type="pct"/>
            <w:gridSpan w:val="3"/>
            <w:noWrap w:val="0"/>
            <w:vAlign w:val="center"/>
          </w:tcPr>
          <w:p>
            <w:pPr>
              <w:jc w:val="center"/>
              <w:rPr>
                <w:rFonts w:hint="eastAsia" w:ascii="仿宋_GB2312" w:eastAsia="仿宋_GB2312"/>
                <w:sz w:val="30"/>
                <w:szCs w:val="30"/>
                <w:highlight w:val="none"/>
                <w:lang w:val="en-US" w:eastAsia="zh-CN"/>
              </w:rPr>
            </w:pPr>
            <w:r>
              <w:rPr>
                <w:rFonts w:hint="eastAsia" w:ascii="仿宋_GB2312" w:eastAsia="仿宋_GB2312"/>
                <w:sz w:val="24"/>
                <w:szCs w:val="24"/>
                <w:highlight w:val="none"/>
                <w:lang w:val="en-US" w:eastAsia="zh-CN"/>
              </w:rPr>
              <w:t>肖曦</w:t>
            </w:r>
          </w:p>
        </w:tc>
        <w:tc>
          <w:tcPr>
            <w:tcW w:w="553" w:type="pct"/>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性别</w:t>
            </w:r>
          </w:p>
        </w:tc>
        <w:tc>
          <w:tcPr>
            <w:tcW w:w="544" w:type="pct"/>
            <w:gridSpan w:val="3"/>
            <w:noWrap w:val="0"/>
            <w:vAlign w:val="center"/>
          </w:tcPr>
          <w:p>
            <w:pPr>
              <w:jc w:val="center"/>
              <w:rPr>
                <w:rFonts w:hint="eastAsia" w:ascii="仿宋_GB2312" w:eastAsia="仿宋_GB2312"/>
                <w:sz w:val="30"/>
                <w:szCs w:val="30"/>
                <w:highlight w:val="none"/>
                <w:lang w:val="en-US" w:eastAsia="zh-CN"/>
              </w:rPr>
            </w:pPr>
            <w:r>
              <w:rPr>
                <w:rFonts w:hint="eastAsia" w:ascii="仿宋_GB2312" w:eastAsia="仿宋_GB2312"/>
                <w:sz w:val="24"/>
                <w:szCs w:val="24"/>
                <w:highlight w:val="none"/>
                <w:lang w:val="en-US" w:eastAsia="zh-CN"/>
              </w:rPr>
              <w:t>男</w:t>
            </w:r>
          </w:p>
        </w:tc>
        <w:tc>
          <w:tcPr>
            <w:tcW w:w="892" w:type="pct"/>
            <w:gridSpan w:val="3"/>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出生年月</w:t>
            </w:r>
          </w:p>
        </w:tc>
        <w:tc>
          <w:tcPr>
            <w:tcW w:w="844" w:type="pct"/>
            <w:gridSpan w:val="3"/>
            <w:noWrap w:val="0"/>
            <w:vAlign w:val="center"/>
          </w:tcPr>
          <w:p>
            <w:pPr>
              <w:jc w:val="center"/>
              <w:rPr>
                <w:rFonts w:hint="default" w:ascii="仿宋_GB2312" w:eastAsia="仿宋_GB2312"/>
                <w:sz w:val="30"/>
                <w:szCs w:val="30"/>
                <w:highlight w:val="none"/>
                <w:lang w:val="en-US" w:eastAsia="zh-CN"/>
              </w:rPr>
            </w:pPr>
            <w:r>
              <w:rPr>
                <w:rFonts w:hint="eastAsia" w:ascii="仿宋_GB2312" w:eastAsia="仿宋_GB2312"/>
                <w:sz w:val="24"/>
                <w:szCs w:val="24"/>
                <w:highlight w:val="none"/>
                <w:lang w:val="en-US" w:eastAsia="zh-CN"/>
              </w:rPr>
              <w:t>1964.10</w:t>
            </w:r>
          </w:p>
        </w:tc>
        <w:tc>
          <w:tcPr>
            <w:tcW w:w="965" w:type="pct"/>
            <w:vMerge w:val="restart"/>
            <w:noWrap w:val="0"/>
            <w:vAlign w:val="center"/>
          </w:tcPr>
          <w:p>
            <w:pPr>
              <w:jc w:val="center"/>
              <w:rPr>
                <w:rFonts w:hint="eastAsia" w:ascii="仿宋_GB2312" w:eastAsia="仿宋_GB2312"/>
                <w:sz w:val="30"/>
                <w:szCs w:val="30"/>
                <w:highlight w:val="none"/>
                <w:lang w:eastAsia="zh-CN"/>
              </w:rPr>
            </w:pPr>
            <w:r>
              <w:rPr>
                <w:rFonts w:hint="eastAsia" w:ascii="仿宋_GB2312" w:eastAsia="仿宋_GB2312"/>
                <w:sz w:val="30"/>
                <w:szCs w:val="30"/>
                <w:highlight w:val="none"/>
                <w:lang w:eastAsia="zh-CN"/>
              </w:rPr>
              <w:drawing>
                <wp:anchor distT="0" distB="0" distL="114300" distR="114300" simplePos="0" relativeHeight="251659264" behindDoc="1" locked="0" layoutInCell="1" allowOverlap="1">
                  <wp:simplePos x="0" y="0"/>
                  <wp:positionH relativeFrom="column">
                    <wp:posOffset>17780</wp:posOffset>
                  </wp:positionH>
                  <wp:positionV relativeFrom="paragraph">
                    <wp:posOffset>-906145</wp:posOffset>
                  </wp:positionV>
                  <wp:extent cx="1259840" cy="1908175"/>
                  <wp:effectExtent l="0" t="0" r="16510" b="15875"/>
                  <wp:wrapThrough wrapText="bothSides">
                    <wp:wrapPolygon>
                      <wp:start x="0" y="0"/>
                      <wp:lineTo x="0" y="21348"/>
                      <wp:lineTo x="21230" y="21348"/>
                      <wp:lineTo x="21230" y="0"/>
                      <wp:lineTo x="0" y="0"/>
                    </wp:wrapPolygon>
                  </wp:wrapThrough>
                  <wp:docPr id="1" name="图片 1" descr="1.肖曦"/>
                  <wp:cNvGraphicFramePr/>
                  <a:graphic xmlns:a="http://schemas.openxmlformats.org/drawingml/2006/main">
                    <a:graphicData uri="http://schemas.openxmlformats.org/drawingml/2006/picture">
                      <pic:pic xmlns:pic="http://schemas.openxmlformats.org/drawingml/2006/picture">
                        <pic:nvPicPr>
                          <pic:cNvPr id="1" name="图片 1" descr="1.肖曦"/>
                          <pic:cNvPicPr/>
                        </pic:nvPicPr>
                        <pic:blipFill>
                          <a:blip r:embed="rId4"/>
                          <a:stretch>
                            <a:fillRect/>
                          </a:stretch>
                        </pic:blipFill>
                        <pic:spPr>
                          <a:xfrm>
                            <a:off x="0" y="0"/>
                            <a:ext cx="1259840" cy="1908175"/>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 w:type="pct"/>
          <w:cantSplit/>
          <w:trHeight w:val="284" w:hRule="atLeast"/>
          <w:jc w:val="center"/>
        </w:trPr>
        <w:tc>
          <w:tcPr>
            <w:tcW w:w="446" w:type="pct"/>
            <w:gridSpan w:val="3"/>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籍贯</w:t>
            </w:r>
          </w:p>
        </w:tc>
        <w:tc>
          <w:tcPr>
            <w:tcW w:w="722" w:type="pct"/>
            <w:gridSpan w:val="3"/>
            <w:noWrap w:val="0"/>
            <w:vAlign w:val="center"/>
          </w:tcPr>
          <w:p>
            <w:pPr>
              <w:jc w:val="center"/>
              <w:rPr>
                <w:rFonts w:hint="eastAsia" w:ascii="仿宋_GB2312" w:eastAsia="仿宋_GB2312"/>
                <w:sz w:val="30"/>
                <w:szCs w:val="30"/>
                <w:highlight w:val="none"/>
              </w:rPr>
            </w:pPr>
            <w:r>
              <w:rPr>
                <w:rFonts w:hint="eastAsia" w:ascii="仿宋_GB2312" w:eastAsia="仿宋_GB2312"/>
                <w:sz w:val="24"/>
                <w:szCs w:val="32"/>
              </w:rPr>
              <w:t>四川广汉</w:t>
            </w:r>
          </w:p>
        </w:tc>
        <w:tc>
          <w:tcPr>
            <w:tcW w:w="553" w:type="pct"/>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民族</w:t>
            </w:r>
          </w:p>
        </w:tc>
        <w:tc>
          <w:tcPr>
            <w:tcW w:w="544" w:type="pct"/>
            <w:gridSpan w:val="3"/>
            <w:noWrap w:val="0"/>
            <w:vAlign w:val="center"/>
          </w:tcPr>
          <w:p>
            <w:pPr>
              <w:jc w:val="center"/>
              <w:rPr>
                <w:rFonts w:hint="eastAsia" w:ascii="仿宋_GB2312" w:eastAsia="仿宋_GB2312"/>
                <w:sz w:val="30"/>
                <w:szCs w:val="30"/>
                <w:highlight w:val="none"/>
                <w:lang w:val="en-US" w:eastAsia="zh-CN"/>
              </w:rPr>
            </w:pPr>
            <w:r>
              <w:rPr>
                <w:rFonts w:hint="eastAsia" w:ascii="仿宋_GB2312" w:eastAsia="仿宋_GB2312"/>
                <w:sz w:val="24"/>
                <w:szCs w:val="32"/>
                <w:lang w:val="en-US" w:eastAsia="zh-CN"/>
              </w:rPr>
              <w:t>汉</w:t>
            </w:r>
          </w:p>
        </w:tc>
        <w:tc>
          <w:tcPr>
            <w:tcW w:w="892" w:type="pct"/>
            <w:gridSpan w:val="3"/>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政治面貌</w:t>
            </w:r>
          </w:p>
        </w:tc>
        <w:tc>
          <w:tcPr>
            <w:tcW w:w="844" w:type="pct"/>
            <w:gridSpan w:val="3"/>
            <w:noWrap w:val="0"/>
            <w:vAlign w:val="center"/>
          </w:tcPr>
          <w:p>
            <w:pPr>
              <w:jc w:val="center"/>
              <w:rPr>
                <w:rFonts w:hint="default" w:ascii="仿宋_GB2312" w:eastAsia="仿宋_GB2312"/>
                <w:sz w:val="30"/>
                <w:szCs w:val="30"/>
                <w:highlight w:val="none"/>
                <w:lang w:val="en-US" w:eastAsia="zh-CN"/>
              </w:rPr>
            </w:pPr>
            <w:r>
              <w:rPr>
                <w:rFonts w:hint="eastAsia" w:ascii="仿宋_GB2312" w:eastAsia="仿宋_GB2312"/>
                <w:sz w:val="24"/>
                <w:szCs w:val="32"/>
                <w:lang w:val="en-US" w:eastAsia="zh-CN"/>
              </w:rPr>
              <w:t>中共党员</w:t>
            </w:r>
          </w:p>
        </w:tc>
        <w:tc>
          <w:tcPr>
            <w:tcW w:w="965" w:type="pct"/>
            <w:vMerge w:val="continue"/>
            <w:noWrap w:val="0"/>
            <w:vAlign w:val="center"/>
          </w:tcPr>
          <w:p>
            <w:pPr>
              <w:jc w:val="center"/>
              <w:rPr>
                <w:rFonts w:hint="eastAsia" w:ascii="仿宋_GB2312"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 w:type="pct"/>
          <w:cantSplit/>
          <w:trHeight w:val="558" w:hRule="atLeast"/>
          <w:jc w:val="center"/>
        </w:trPr>
        <w:tc>
          <w:tcPr>
            <w:tcW w:w="446" w:type="pct"/>
            <w:gridSpan w:val="3"/>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学历</w:t>
            </w:r>
          </w:p>
        </w:tc>
        <w:tc>
          <w:tcPr>
            <w:tcW w:w="722" w:type="pct"/>
            <w:gridSpan w:val="3"/>
            <w:noWrap w:val="0"/>
            <w:vAlign w:val="center"/>
          </w:tcPr>
          <w:p>
            <w:pPr>
              <w:jc w:val="center"/>
              <w:rPr>
                <w:rFonts w:hint="eastAsia" w:ascii="仿宋_GB2312" w:eastAsia="仿宋_GB2312"/>
                <w:sz w:val="30"/>
                <w:szCs w:val="30"/>
                <w:highlight w:val="none"/>
                <w:lang w:val="en-US" w:eastAsia="zh-CN"/>
              </w:rPr>
            </w:pPr>
            <w:r>
              <w:rPr>
                <w:rFonts w:hint="eastAsia" w:ascii="仿宋_GB2312" w:eastAsia="仿宋_GB2312"/>
                <w:sz w:val="24"/>
                <w:szCs w:val="24"/>
                <w:highlight w:val="none"/>
                <w:lang w:val="en-US" w:eastAsia="zh-CN"/>
              </w:rPr>
              <w:t>大学本科</w:t>
            </w:r>
          </w:p>
        </w:tc>
        <w:tc>
          <w:tcPr>
            <w:tcW w:w="1098" w:type="pct"/>
            <w:gridSpan w:val="4"/>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何时参加工作</w:t>
            </w:r>
          </w:p>
        </w:tc>
        <w:tc>
          <w:tcPr>
            <w:tcW w:w="1737" w:type="pct"/>
            <w:gridSpan w:val="6"/>
            <w:noWrap w:val="0"/>
            <w:vAlign w:val="center"/>
          </w:tcPr>
          <w:p>
            <w:pPr>
              <w:jc w:val="center"/>
              <w:rPr>
                <w:rFonts w:hint="default" w:ascii="仿宋_GB2312" w:eastAsia="仿宋_GB2312"/>
                <w:sz w:val="30"/>
                <w:szCs w:val="30"/>
                <w:highlight w:val="none"/>
                <w:lang w:val="en-US" w:eastAsia="zh-CN"/>
              </w:rPr>
            </w:pPr>
            <w:r>
              <w:rPr>
                <w:rFonts w:hint="eastAsia" w:ascii="仿宋_GB2312" w:eastAsia="仿宋_GB2312"/>
                <w:sz w:val="24"/>
                <w:szCs w:val="24"/>
                <w:highlight w:val="none"/>
                <w:lang w:val="en-US" w:eastAsia="zh-CN"/>
              </w:rPr>
              <w:t>1985年7月</w:t>
            </w:r>
          </w:p>
        </w:tc>
        <w:tc>
          <w:tcPr>
            <w:tcW w:w="965" w:type="pct"/>
            <w:vMerge w:val="continue"/>
            <w:noWrap w:val="0"/>
            <w:vAlign w:val="center"/>
          </w:tcPr>
          <w:p>
            <w:pPr>
              <w:jc w:val="center"/>
              <w:rPr>
                <w:rFonts w:hint="eastAsia" w:ascii="仿宋_GB2312"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 w:type="pct"/>
          <w:cantSplit/>
          <w:trHeight w:val="540" w:hRule="atLeast"/>
          <w:jc w:val="center"/>
        </w:trPr>
        <w:tc>
          <w:tcPr>
            <w:tcW w:w="1168" w:type="pct"/>
            <w:gridSpan w:val="6"/>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身份证号码</w:t>
            </w:r>
          </w:p>
        </w:tc>
        <w:tc>
          <w:tcPr>
            <w:tcW w:w="2834" w:type="pct"/>
            <w:gridSpan w:val="10"/>
            <w:noWrap w:val="0"/>
            <w:vAlign w:val="center"/>
          </w:tcPr>
          <w:p>
            <w:pPr>
              <w:rPr>
                <w:rFonts w:hint="eastAsia" w:ascii="仿宋_GB2312" w:eastAsia="仿宋_GB2312"/>
                <w:sz w:val="30"/>
                <w:szCs w:val="30"/>
                <w:highlight w:val="none"/>
              </w:rPr>
            </w:pPr>
            <w:r>
              <w:rPr>
                <w:rFonts w:hint="eastAsia" w:ascii="仿宋_GB2312" w:eastAsia="仿宋_GB2312"/>
                <w:sz w:val="24"/>
                <w:szCs w:val="24"/>
                <w:highlight w:val="none"/>
              </w:rPr>
              <w:t>51010219641022437X</w:t>
            </w:r>
          </w:p>
        </w:tc>
        <w:tc>
          <w:tcPr>
            <w:tcW w:w="965" w:type="pct"/>
            <w:vMerge w:val="continue"/>
            <w:noWrap w:val="0"/>
            <w:vAlign w:val="center"/>
          </w:tcPr>
          <w:p>
            <w:pPr>
              <w:jc w:val="center"/>
              <w:rPr>
                <w:rFonts w:hint="eastAsia" w:ascii="仿宋_GB2312"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 w:type="pct"/>
          <w:cantSplit/>
          <w:trHeight w:val="540" w:hRule="atLeast"/>
          <w:jc w:val="center"/>
        </w:trPr>
        <w:tc>
          <w:tcPr>
            <w:tcW w:w="1168" w:type="pct"/>
            <w:gridSpan w:val="6"/>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工作单位</w:t>
            </w:r>
          </w:p>
        </w:tc>
        <w:tc>
          <w:tcPr>
            <w:tcW w:w="2834" w:type="pct"/>
            <w:gridSpan w:val="10"/>
            <w:noWrap w:val="0"/>
            <w:vAlign w:val="center"/>
          </w:tcPr>
          <w:p>
            <w:pPr>
              <w:rPr>
                <w:rFonts w:hint="eastAsia" w:ascii="仿宋_GB2312" w:eastAsia="仿宋_GB2312"/>
                <w:sz w:val="30"/>
                <w:szCs w:val="30"/>
                <w:highlight w:val="none"/>
              </w:rPr>
            </w:pPr>
            <w:r>
              <w:rPr>
                <w:rFonts w:hint="eastAsia" w:ascii="仿宋_GB2312" w:eastAsia="仿宋_GB2312"/>
                <w:sz w:val="24"/>
                <w:szCs w:val="21"/>
                <w:highlight w:val="none"/>
                <w:u w:val="none"/>
                <w:lang w:val="en-US" w:eastAsia="zh-CN"/>
              </w:rPr>
              <w:t>新都中铁动力新城建设投资有限公司</w:t>
            </w:r>
          </w:p>
        </w:tc>
        <w:tc>
          <w:tcPr>
            <w:tcW w:w="965" w:type="pct"/>
            <w:vMerge w:val="continue"/>
            <w:noWrap w:val="0"/>
            <w:vAlign w:val="center"/>
          </w:tcPr>
          <w:p>
            <w:pPr>
              <w:jc w:val="center"/>
              <w:rPr>
                <w:rFonts w:hint="eastAsia" w:ascii="仿宋_GB2312"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 w:type="pct"/>
          <w:cantSplit/>
          <w:trHeight w:val="540" w:hRule="atLeast"/>
          <w:jc w:val="center"/>
        </w:trPr>
        <w:tc>
          <w:tcPr>
            <w:tcW w:w="1168" w:type="pct"/>
            <w:gridSpan w:val="6"/>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联系电话</w:t>
            </w:r>
          </w:p>
        </w:tc>
        <w:tc>
          <w:tcPr>
            <w:tcW w:w="2834" w:type="pct"/>
            <w:gridSpan w:val="10"/>
            <w:noWrap w:val="0"/>
            <w:vAlign w:val="center"/>
          </w:tcPr>
          <w:p>
            <w:pPr>
              <w:rPr>
                <w:rFonts w:hint="default" w:ascii="仿宋_GB2312" w:eastAsia="仿宋_GB2312"/>
                <w:sz w:val="30"/>
                <w:szCs w:val="30"/>
                <w:highlight w:val="none"/>
                <w:lang w:val="en-US" w:eastAsia="zh-CN"/>
              </w:rPr>
            </w:pPr>
            <w:r>
              <w:rPr>
                <w:rFonts w:hint="eastAsia" w:ascii="仿宋_GB2312" w:eastAsia="仿宋_GB2312"/>
                <w:sz w:val="24"/>
                <w:szCs w:val="21"/>
                <w:highlight w:val="none"/>
                <w:u w:val="none"/>
                <w:lang w:val="en-US" w:eastAsia="zh-CN"/>
              </w:rPr>
              <w:t>13980607565</w:t>
            </w:r>
          </w:p>
        </w:tc>
        <w:tc>
          <w:tcPr>
            <w:tcW w:w="965" w:type="pct"/>
            <w:vMerge w:val="continue"/>
            <w:noWrap w:val="0"/>
            <w:vAlign w:val="center"/>
          </w:tcPr>
          <w:p>
            <w:pPr>
              <w:jc w:val="center"/>
              <w:rPr>
                <w:rFonts w:hint="eastAsia" w:ascii="仿宋_GB2312"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 w:type="pct"/>
          <w:cantSplit/>
          <w:trHeight w:val="536" w:hRule="atLeast"/>
          <w:jc w:val="center"/>
        </w:trPr>
        <w:tc>
          <w:tcPr>
            <w:tcW w:w="628" w:type="pct"/>
            <w:gridSpan w:val="4"/>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职务</w:t>
            </w:r>
          </w:p>
        </w:tc>
        <w:tc>
          <w:tcPr>
            <w:tcW w:w="1105" w:type="pct"/>
            <w:gridSpan w:val="4"/>
            <w:noWrap w:val="0"/>
            <w:vAlign w:val="center"/>
          </w:tcPr>
          <w:p>
            <w:pPr>
              <w:rPr>
                <w:rFonts w:hint="eastAsia" w:ascii="仿宋_GB2312" w:eastAsia="仿宋_GB2312"/>
                <w:sz w:val="30"/>
                <w:szCs w:val="30"/>
                <w:highlight w:val="none"/>
                <w:lang w:val="en-US" w:eastAsia="zh-CN"/>
              </w:rPr>
            </w:pPr>
            <w:r>
              <w:rPr>
                <w:rFonts w:hint="eastAsia" w:ascii="仿宋_GB2312" w:eastAsia="仿宋_GB2312"/>
                <w:sz w:val="24"/>
                <w:szCs w:val="24"/>
                <w:highlight w:val="none"/>
                <w:lang w:val="en-US" w:eastAsia="zh-CN"/>
              </w:rPr>
              <w:t>董事长</w:t>
            </w:r>
          </w:p>
        </w:tc>
        <w:tc>
          <w:tcPr>
            <w:tcW w:w="521" w:type="pct"/>
            <w:noWrap w:val="0"/>
            <w:vAlign w:val="center"/>
          </w:tcPr>
          <w:p>
            <w:pPr>
              <w:jc w:val="center"/>
              <w:rPr>
                <w:rFonts w:hint="eastAsia" w:ascii="仿宋_GB2312" w:eastAsia="仿宋_GB2312"/>
                <w:sz w:val="30"/>
                <w:szCs w:val="30"/>
                <w:highlight w:val="none"/>
              </w:rPr>
            </w:pPr>
            <w:r>
              <w:rPr>
                <w:rFonts w:hint="eastAsia" w:ascii="仿宋_GB2312" w:eastAsia="仿宋_GB2312"/>
                <w:sz w:val="30"/>
                <w:szCs w:val="30"/>
                <w:highlight w:val="none"/>
              </w:rPr>
              <w:t>职称</w:t>
            </w:r>
          </w:p>
        </w:tc>
        <w:tc>
          <w:tcPr>
            <w:tcW w:w="866" w:type="pct"/>
            <w:gridSpan w:val="3"/>
            <w:noWrap w:val="0"/>
            <w:vAlign w:val="center"/>
          </w:tcPr>
          <w:p>
            <w:pPr>
              <w:rPr>
                <w:rFonts w:hint="eastAsia" w:ascii="仿宋_GB2312" w:eastAsia="仿宋_GB2312"/>
                <w:sz w:val="30"/>
                <w:szCs w:val="30"/>
                <w:highlight w:val="none"/>
                <w:lang w:val="en-US" w:eastAsia="zh-CN"/>
              </w:rPr>
            </w:pPr>
            <w:r>
              <w:rPr>
                <w:rFonts w:hint="eastAsia" w:ascii="仿宋_GB2312" w:eastAsia="仿宋_GB2312"/>
                <w:sz w:val="24"/>
                <w:szCs w:val="24"/>
                <w:highlight w:val="none"/>
                <w:lang w:val="en-US" w:eastAsia="zh-CN"/>
              </w:rPr>
              <w:t>高级工程师</w:t>
            </w:r>
          </w:p>
        </w:tc>
        <w:tc>
          <w:tcPr>
            <w:tcW w:w="867" w:type="pct"/>
            <w:gridSpan w:val="3"/>
            <w:noWrap w:val="0"/>
            <w:vAlign w:val="center"/>
          </w:tcPr>
          <w:p>
            <w:pPr>
              <w:ind w:left="-128" w:leftChars="-61"/>
              <w:jc w:val="center"/>
              <w:rPr>
                <w:rFonts w:hint="eastAsia" w:ascii="仿宋_GB2312" w:eastAsia="仿宋_GB2312"/>
                <w:sz w:val="30"/>
                <w:szCs w:val="30"/>
                <w:highlight w:val="none"/>
              </w:rPr>
            </w:pPr>
            <w:r>
              <w:rPr>
                <w:rFonts w:hint="eastAsia" w:ascii="仿宋_GB2312" w:eastAsia="仿宋_GB2312"/>
                <w:sz w:val="30"/>
                <w:szCs w:val="30"/>
                <w:highlight w:val="none"/>
              </w:rPr>
              <w:t>技术等级</w:t>
            </w:r>
          </w:p>
        </w:tc>
        <w:tc>
          <w:tcPr>
            <w:tcW w:w="979" w:type="pct"/>
            <w:gridSpan w:val="2"/>
            <w:noWrap w:val="0"/>
            <w:vAlign w:val="center"/>
          </w:tcPr>
          <w:p>
            <w:pPr>
              <w:rPr>
                <w:rFonts w:hint="eastAsia" w:ascii="仿宋_GB2312"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 w:type="pct"/>
          <w:cantSplit/>
          <w:trHeight w:val="3812" w:hRule="atLeast"/>
          <w:jc w:val="center"/>
        </w:trPr>
        <w:tc>
          <w:tcPr>
            <w:tcW w:w="628" w:type="pct"/>
            <w:gridSpan w:val="4"/>
            <w:noWrap w:val="0"/>
            <w:textDirection w:val="tbRlV"/>
            <w:vAlign w:val="center"/>
          </w:tcPr>
          <w:p>
            <w:pPr>
              <w:ind w:left="113" w:right="113"/>
              <w:jc w:val="center"/>
              <w:rPr>
                <w:rFonts w:hint="eastAsia" w:ascii="仿宋_GB2312" w:eastAsia="仿宋_GB2312"/>
                <w:spacing w:val="24"/>
                <w:sz w:val="30"/>
                <w:szCs w:val="30"/>
                <w:highlight w:val="none"/>
              </w:rPr>
            </w:pPr>
            <w:r>
              <w:rPr>
                <w:rFonts w:hint="eastAsia" w:ascii="仿宋_GB2312" w:eastAsia="仿宋_GB2312"/>
                <w:spacing w:val="24"/>
                <w:sz w:val="30"/>
                <w:szCs w:val="30"/>
                <w:highlight w:val="none"/>
              </w:rPr>
              <w:t>何时曾获何种荣誉称号</w:t>
            </w:r>
          </w:p>
        </w:tc>
        <w:tc>
          <w:tcPr>
            <w:tcW w:w="4339" w:type="pct"/>
            <w:gridSpan w:val="13"/>
            <w:noWrap w:val="0"/>
            <w:vAlign w:val="top"/>
          </w:tcPr>
          <w:p>
            <w:pPr>
              <w:rPr>
                <w:rFonts w:hint="eastAsia" w:ascii="仿宋_GB2312" w:eastAsia="仿宋_GB2312"/>
                <w:sz w:val="24"/>
                <w:szCs w:val="22"/>
                <w:highlight w:val="none"/>
                <w:lang w:val="en-US" w:eastAsia="zh-CN"/>
              </w:rPr>
            </w:pPr>
            <w:r>
              <w:rPr>
                <w:rFonts w:hint="eastAsia" w:ascii="仿宋_GB2312" w:eastAsia="仿宋_GB2312"/>
                <w:sz w:val="24"/>
                <w:szCs w:val="22"/>
                <w:highlight w:val="none"/>
                <w:lang w:val="en-US" w:eastAsia="zh-CN"/>
              </w:rPr>
              <w:t>2003年，获中铁二局优秀科技工作者；</w:t>
            </w:r>
          </w:p>
          <w:p>
            <w:pPr>
              <w:rPr>
                <w:rFonts w:hint="default" w:ascii="仿宋_GB2312" w:eastAsia="仿宋_GB2312"/>
                <w:sz w:val="28"/>
                <w:highlight w:val="none"/>
                <w:lang w:val="en-US" w:eastAsia="zh-CN"/>
              </w:rPr>
            </w:pPr>
            <w:r>
              <w:rPr>
                <w:rFonts w:hint="eastAsia" w:ascii="仿宋_GB2312" w:eastAsia="仿宋_GB2312"/>
                <w:sz w:val="24"/>
                <w:szCs w:val="22"/>
                <w:highlight w:val="none"/>
                <w:lang w:val="en-US" w:eastAsia="zh-CN"/>
              </w:rPr>
              <w:t>2020年，获中铁城投集团优秀党务工作者。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33" w:type="pct"/>
          <w:cantSplit/>
          <w:trHeight w:val="4695" w:hRule="atLeast"/>
          <w:jc w:val="center"/>
        </w:trPr>
        <w:tc>
          <w:tcPr>
            <w:tcW w:w="628" w:type="pct"/>
            <w:gridSpan w:val="4"/>
            <w:noWrap w:val="0"/>
            <w:textDirection w:val="tbRlV"/>
            <w:vAlign w:val="center"/>
          </w:tcPr>
          <w:p>
            <w:pPr>
              <w:ind w:left="113" w:right="113"/>
              <w:jc w:val="center"/>
              <w:rPr>
                <w:rFonts w:hint="eastAsia" w:ascii="仿宋_GB2312" w:eastAsia="仿宋_GB2312"/>
                <w:sz w:val="30"/>
                <w:szCs w:val="30"/>
                <w:highlight w:val="none"/>
              </w:rPr>
            </w:pPr>
            <w:r>
              <w:rPr>
                <w:rFonts w:hint="eastAsia" w:ascii="仿宋_GB2312" w:eastAsia="仿宋_GB2312"/>
                <w:sz w:val="30"/>
                <w:szCs w:val="30"/>
                <w:highlight w:val="none"/>
              </w:rPr>
              <w:t>个  人  简  历</w:t>
            </w:r>
          </w:p>
        </w:tc>
        <w:tc>
          <w:tcPr>
            <w:tcW w:w="4339" w:type="pct"/>
            <w:gridSpan w:val="13"/>
            <w:noWrap w:val="0"/>
            <w:vAlign w:val="top"/>
          </w:tcPr>
          <w:p>
            <w:pPr>
              <w:keepNext w:val="0"/>
              <w:keepLines w:val="0"/>
              <w:pageBreakBefore w:val="0"/>
              <w:widowControl w:val="0"/>
              <w:kinsoku/>
              <w:wordWrap/>
              <w:overflowPunct/>
              <w:topLinePunct w:val="0"/>
              <w:autoSpaceDE/>
              <w:autoSpaceDN/>
              <w:bidi w:val="0"/>
              <w:adjustRightInd w:val="0"/>
              <w:snapToGrid w:val="0"/>
              <w:spacing w:line="260" w:lineRule="exact"/>
              <w:textAlignment w:val="auto"/>
              <w:rPr>
                <w:rFonts w:hint="eastAsia" w:ascii="仿宋_GB2312" w:hAnsi="仿宋" w:eastAsia="仿宋_GB2312"/>
                <w:sz w:val="24"/>
                <w:szCs w:val="24"/>
              </w:rPr>
            </w:pPr>
            <w:r>
              <w:rPr>
                <w:rFonts w:hint="eastAsia" w:ascii="仿宋_GB2312" w:hAnsi="仿宋" w:eastAsia="仿宋_GB2312"/>
                <w:sz w:val="24"/>
                <w:szCs w:val="24"/>
              </w:rPr>
              <w:t>1981.09-1985.07  西南交通大学铁道工程专业本科学习；</w:t>
            </w:r>
          </w:p>
          <w:p>
            <w:pPr>
              <w:keepNext w:val="0"/>
              <w:keepLines w:val="0"/>
              <w:pageBreakBefore w:val="0"/>
              <w:widowControl w:val="0"/>
              <w:kinsoku/>
              <w:wordWrap/>
              <w:overflowPunct/>
              <w:topLinePunct w:val="0"/>
              <w:autoSpaceDE/>
              <w:autoSpaceDN/>
              <w:bidi w:val="0"/>
              <w:adjustRightInd w:val="0"/>
              <w:snapToGrid w:val="0"/>
              <w:spacing w:line="260" w:lineRule="exact"/>
              <w:ind w:left="1890" w:hanging="2160" w:hangingChars="900"/>
              <w:textAlignment w:val="auto"/>
              <w:rPr>
                <w:rFonts w:hint="eastAsia" w:ascii="仿宋_GB2312" w:hAnsi="仿宋" w:eastAsia="仿宋_GB2312"/>
                <w:sz w:val="24"/>
                <w:szCs w:val="24"/>
              </w:rPr>
            </w:pPr>
            <w:r>
              <w:rPr>
                <w:rFonts w:hint="eastAsia" w:ascii="仿宋_GB2312" w:hAnsi="仿宋" w:eastAsia="仿宋_GB2312"/>
                <w:sz w:val="24"/>
                <w:szCs w:val="24"/>
              </w:rPr>
              <w:t>1985.07-1998.03  西南电力设计院土建处见习生、助理工程师、工程师、高级工程师；</w:t>
            </w:r>
          </w:p>
          <w:p>
            <w:pPr>
              <w:keepNext w:val="0"/>
              <w:keepLines w:val="0"/>
              <w:pageBreakBefore w:val="0"/>
              <w:widowControl w:val="0"/>
              <w:kinsoku/>
              <w:wordWrap/>
              <w:overflowPunct/>
              <w:topLinePunct w:val="0"/>
              <w:autoSpaceDE/>
              <w:autoSpaceDN/>
              <w:bidi w:val="0"/>
              <w:adjustRightInd w:val="0"/>
              <w:snapToGrid w:val="0"/>
              <w:spacing w:line="260" w:lineRule="exact"/>
              <w:ind w:left="1680" w:hanging="1920" w:hangingChars="800"/>
              <w:textAlignment w:val="auto"/>
              <w:rPr>
                <w:rFonts w:hint="eastAsia" w:ascii="仿宋_GB2312" w:hAnsi="仿宋" w:eastAsia="仿宋_GB2312"/>
                <w:sz w:val="24"/>
                <w:szCs w:val="24"/>
              </w:rPr>
            </w:pPr>
            <w:r>
              <w:rPr>
                <w:rFonts w:hint="eastAsia" w:ascii="仿宋_GB2312" w:hAnsi="仿宋" w:eastAsia="仿宋_GB2312"/>
                <w:sz w:val="24"/>
                <w:szCs w:val="24"/>
              </w:rPr>
              <w:t>1998.03-2000.02  铁道部第二工程局新线铁路运输处内昆指挥部副指挥长兼总工程师、高级工程师；</w:t>
            </w:r>
          </w:p>
          <w:p>
            <w:pPr>
              <w:keepNext w:val="0"/>
              <w:keepLines w:val="0"/>
              <w:pageBreakBefore w:val="0"/>
              <w:widowControl w:val="0"/>
              <w:kinsoku/>
              <w:wordWrap/>
              <w:overflowPunct/>
              <w:topLinePunct w:val="0"/>
              <w:autoSpaceDE/>
              <w:autoSpaceDN/>
              <w:bidi w:val="0"/>
              <w:adjustRightInd w:val="0"/>
              <w:snapToGrid w:val="0"/>
              <w:spacing w:line="260" w:lineRule="exact"/>
              <w:ind w:left="1680" w:hanging="1920" w:hangingChars="800"/>
              <w:textAlignment w:val="auto"/>
              <w:rPr>
                <w:rFonts w:hint="eastAsia" w:ascii="仿宋_GB2312" w:hAnsi="仿宋" w:eastAsia="仿宋_GB2312"/>
                <w:sz w:val="24"/>
                <w:szCs w:val="24"/>
              </w:rPr>
            </w:pPr>
            <w:r>
              <w:rPr>
                <w:rFonts w:hint="eastAsia" w:ascii="仿宋_GB2312" w:hAnsi="仿宋" w:eastAsia="仿宋_GB2312"/>
                <w:sz w:val="24"/>
                <w:szCs w:val="24"/>
              </w:rPr>
              <w:t>2000.02-2002.05  中铁二局新运公司总经济师、高级工程师、兼经营部部长；</w:t>
            </w:r>
          </w:p>
          <w:p>
            <w:pPr>
              <w:keepNext w:val="0"/>
              <w:keepLines w:val="0"/>
              <w:pageBreakBefore w:val="0"/>
              <w:widowControl w:val="0"/>
              <w:kinsoku/>
              <w:wordWrap/>
              <w:overflowPunct/>
              <w:topLinePunct w:val="0"/>
              <w:autoSpaceDE/>
              <w:autoSpaceDN/>
              <w:bidi w:val="0"/>
              <w:adjustRightInd w:val="0"/>
              <w:snapToGrid w:val="0"/>
              <w:spacing w:line="260" w:lineRule="exact"/>
              <w:ind w:left="1785" w:hanging="2040" w:hangingChars="850"/>
              <w:textAlignment w:val="auto"/>
              <w:rPr>
                <w:rFonts w:hint="eastAsia" w:ascii="仿宋_GB2312" w:hAnsi="仿宋" w:eastAsia="仿宋_GB2312"/>
                <w:sz w:val="24"/>
                <w:szCs w:val="24"/>
              </w:rPr>
            </w:pPr>
            <w:r>
              <w:rPr>
                <w:rFonts w:hint="eastAsia" w:ascii="仿宋_GB2312" w:hAnsi="仿宋" w:eastAsia="仿宋_GB2312"/>
                <w:sz w:val="24"/>
                <w:szCs w:val="24"/>
              </w:rPr>
              <w:t>2002.05-2002.09  中国铁路工程总公司设计部二级职员、抽调陕西中铁工程高速公路计经部副部长；</w:t>
            </w:r>
          </w:p>
          <w:p>
            <w:pPr>
              <w:keepNext w:val="0"/>
              <w:keepLines w:val="0"/>
              <w:pageBreakBefore w:val="0"/>
              <w:widowControl w:val="0"/>
              <w:kinsoku/>
              <w:wordWrap/>
              <w:overflowPunct/>
              <w:topLinePunct w:val="0"/>
              <w:autoSpaceDE/>
              <w:autoSpaceDN/>
              <w:bidi w:val="0"/>
              <w:adjustRightInd w:val="0"/>
              <w:snapToGrid w:val="0"/>
              <w:spacing w:line="260" w:lineRule="exact"/>
              <w:textAlignment w:val="auto"/>
              <w:rPr>
                <w:rFonts w:hint="eastAsia" w:ascii="仿宋_GB2312" w:hAnsi="仿宋" w:eastAsia="仿宋_GB2312"/>
                <w:sz w:val="24"/>
                <w:szCs w:val="24"/>
              </w:rPr>
            </w:pPr>
            <w:r>
              <w:rPr>
                <w:rFonts w:hint="eastAsia" w:ascii="仿宋_GB2312" w:hAnsi="仿宋" w:eastAsia="仿宋_GB2312"/>
                <w:sz w:val="24"/>
                <w:szCs w:val="24"/>
              </w:rPr>
              <w:t>2002.09-2005.12  中铁二局股份公司内蒙古分公司经理；</w:t>
            </w:r>
          </w:p>
          <w:p>
            <w:pPr>
              <w:keepNext w:val="0"/>
              <w:keepLines w:val="0"/>
              <w:pageBreakBefore w:val="0"/>
              <w:widowControl w:val="0"/>
              <w:kinsoku/>
              <w:wordWrap/>
              <w:overflowPunct/>
              <w:topLinePunct w:val="0"/>
              <w:autoSpaceDE/>
              <w:autoSpaceDN/>
              <w:bidi w:val="0"/>
              <w:adjustRightInd w:val="0"/>
              <w:snapToGrid w:val="0"/>
              <w:spacing w:line="260" w:lineRule="exact"/>
              <w:ind w:left="1680" w:hanging="1920" w:hangingChars="800"/>
              <w:textAlignment w:val="auto"/>
              <w:rPr>
                <w:rFonts w:hint="eastAsia" w:ascii="仿宋_GB2312" w:hAnsi="仿宋" w:eastAsia="仿宋_GB2312"/>
                <w:sz w:val="24"/>
                <w:szCs w:val="24"/>
              </w:rPr>
            </w:pPr>
            <w:r>
              <w:rPr>
                <w:rFonts w:hint="eastAsia" w:ascii="仿宋_GB2312" w:hAnsi="仿宋" w:eastAsia="仿宋_GB2312"/>
                <w:sz w:val="24"/>
                <w:szCs w:val="24"/>
              </w:rPr>
              <w:t>2005.12-201</w:t>
            </w:r>
            <w:r>
              <w:rPr>
                <w:rFonts w:ascii="仿宋_GB2312" w:hAnsi="仿宋" w:eastAsia="仿宋_GB2312"/>
                <w:sz w:val="24"/>
                <w:szCs w:val="24"/>
              </w:rPr>
              <w:t>2.08</w:t>
            </w:r>
            <w:r>
              <w:rPr>
                <w:rFonts w:hint="eastAsia" w:ascii="仿宋_GB2312" w:hAnsi="仿宋" w:eastAsia="仿宋_GB2312"/>
                <w:sz w:val="24"/>
                <w:szCs w:val="24"/>
              </w:rPr>
              <w:t xml:space="preserve">  中铁二局新运公司总经济师、董事、兼北京办事处主任、兼总法律顾问； </w:t>
            </w:r>
          </w:p>
          <w:p>
            <w:pPr>
              <w:keepNext w:val="0"/>
              <w:keepLines w:val="0"/>
              <w:pageBreakBefore w:val="0"/>
              <w:widowControl w:val="0"/>
              <w:kinsoku/>
              <w:wordWrap/>
              <w:overflowPunct/>
              <w:topLinePunct w:val="0"/>
              <w:autoSpaceDE/>
              <w:autoSpaceDN/>
              <w:bidi w:val="0"/>
              <w:adjustRightInd w:val="0"/>
              <w:snapToGrid w:val="0"/>
              <w:spacing w:line="260" w:lineRule="exact"/>
              <w:textAlignment w:val="auto"/>
              <w:rPr>
                <w:rFonts w:hint="eastAsia" w:ascii="仿宋_GB2312" w:hAnsi="仿宋" w:eastAsia="仿宋_GB2312"/>
                <w:sz w:val="24"/>
                <w:szCs w:val="24"/>
              </w:rPr>
            </w:pPr>
            <w:r>
              <w:rPr>
                <w:rFonts w:hint="eastAsia" w:ascii="仿宋_GB2312" w:hAnsi="仿宋" w:eastAsia="仿宋_GB2312"/>
                <w:sz w:val="24"/>
                <w:szCs w:val="24"/>
              </w:rPr>
              <w:t>2012.08-2014.09  中铁城市发展投资有限公司中铁成都轨道交通工程指挥部副指挥长兼预算合同部部长（助勤）；</w:t>
            </w:r>
          </w:p>
          <w:p>
            <w:pPr>
              <w:keepNext w:val="0"/>
              <w:keepLines w:val="0"/>
              <w:pageBreakBefore w:val="0"/>
              <w:widowControl w:val="0"/>
              <w:kinsoku/>
              <w:wordWrap/>
              <w:overflowPunct/>
              <w:topLinePunct w:val="0"/>
              <w:autoSpaceDE/>
              <w:autoSpaceDN/>
              <w:bidi w:val="0"/>
              <w:adjustRightInd w:val="0"/>
              <w:snapToGrid w:val="0"/>
              <w:spacing w:line="260" w:lineRule="exact"/>
              <w:textAlignment w:val="auto"/>
              <w:rPr>
                <w:rFonts w:hint="eastAsia" w:ascii="仿宋_GB2312" w:hAnsi="仿宋" w:eastAsia="仿宋_GB2312"/>
                <w:sz w:val="24"/>
                <w:szCs w:val="24"/>
              </w:rPr>
            </w:pPr>
            <w:r>
              <w:rPr>
                <w:rFonts w:hint="eastAsia" w:ascii="仿宋_GB2312" w:hAnsi="仿宋" w:eastAsia="仿宋_GB2312"/>
                <w:sz w:val="24"/>
                <w:szCs w:val="24"/>
              </w:rPr>
              <w:t>2014.09-</w:t>
            </w:r>
            <w:r>
              <w:rPr>
                <w:rFonts w:hint="eastAsia" w:ascii="仿宋_GB2312" w:hAnsi="仿宋" w:eastAsia="仿宋_GB2312"/>
                <w:sz w:val="24"/>
                <w:szCs w:val="24"/>
                <w:lang w:val="en-US" w:eastAsia="zh-CN"/>
              </w:rPr>
              <w:t>2016.04</w:t>
            </w:r>
            <w:r>
              <w:rPr>
                <w:rFonts w:hint="eastAsia" w:ascii="仿宋_GB2312" w:hAnsi="仿宋" w:eastAsia="仿宋_GB2312"/>
                <w:sz w:val="24"/>
                <w:szCs w:val="24"/>
              </w:rPr>
              <w:t xml:space="preserve">  中铁城市发展投资有限公司工程经济管理部部长（助勤）</w:t>
            </w:r>
            <w:r>
              <w:rPr>
                <w:rFonts w:hint="eastAsia" w:ascii="仿宋_GB2312" w:hAnsi="仿宋" w:eastAsia="仿宋_GB2312"/>
                <w:sz w:val="24"/>
                <w:szCs w:val="24"/>
                <w:lang w:eastAsia="zh-CN"/>
              </w:rPr>
              <w:t>、</w:t>
            </w:r>
            <w:r>
              <w:rPr>
                <w:rFonts w:hint="eastAsia" w:ascii="仿宋_GB2312" w:hAnsi="仿宋" w:eastAsia="仿宋_GB2312"/>
                <w:sz w:val="24"/>
                <w:szCs w:val="24"/>
              </w:rPr>
              <w:t>中铁城市发展投资集团有限公司工程经济部部长；</w:t>
            </w:r>
          </w:p>
          <w:p>
            <w:pPr>
              <w:keepNext w:val="0"/>
              <w:keepLines w:val="0"/>
              <w:pageBreakBefore w:val="0"/>
              <w:widowControl w:val="0"/>
              <w:kinsoku/>
              <w:wordWrap/>
              <w:overflowPunct/>
              <w:topLinePunct w:val="0"/>
              <w:autoSpaceDE/>
              <w:autoSpaceDN/>
              <w:bidi w:val="0"/>
              <w:adjustRightInd w:val="0"/>
              <w:snapToGrid w:val="0"/>
              <w:spacing w:line="260" w:lineRule="exact"/>
              <w:ind w:left="1680" w:hanging="1920" w:hangingChars="800"/>
              <w:textAlignment w:val="auto"/>
              <w:rPr>
                <w:rFonts w:hint="eastAsia" w:ascii="仿宋_GB2312" w:hAnsi="仿宋" w:eastAsia="仿宋_GB2312"/>
                <w:sz w:val="24"/>
                <w:szCs w:val="24"/>
              </w:rPr>
            </w:pPr>
            <w:r>
              <w:rPr>
                <w:rFonts w:hint="eastAsia" w:ascii="仿宋_GB2312" w:hAnsi="仿宋" w:eastAsia="仿宋_GB2312"/>
                <w:sz w:val="24"/>
                <w:szCs w:val="24"/>
              </w:rPr>
              <w:t>2016.04-2020.01  中铁城市发展投资集团有限公司天府指挥部指挥长、党工委副书记</w:t>
            </w:r>
            <w:r>
              <w:rPr>
                <w:rFonts w:hint="eastAsia" w:ascii="仿宋_GB2312" w:hAnsi="仿宋" w:eastAsia="仿宋_GB2312"/>
                <w:sz w:val="24"/>
                <w:szCs w:val="24"/>
                <w:lang w:eastAsia="zh-CN"/>
              </w:rPr>
              <w:t>、</w:t>
            </w:r>
            <w:r>
              <w:rPr>
                <w:rFonts w:hint="eastAsia" w:ascii="仿宋_GB2312" w:hAnsi="仿宋" w:eastAsia="仿宋_GB2312"/>
                <w:sz w:val="24"/>
                <w:szCs w:val="24"/>
                <w:lang w:val="en-US" w:eastAsia="zh-CN"/>
              </w:rPr>
              <w:t>新都动力新城项目公司董事长</w:t>
            </w:r>
            <w:r>
              <w:rPr>
                <w:rFonts w:hint="eastAsia" w:ascii="仿宋_GB2312" w:hAnsi="仿宋" w:eastAsia="仿宋_GB2312"/>
                <w:sz w:val="24"/>
                <w:szCs w:val="24"/>
              </w:rPr>
              <w:t xml:space="preserve"> </w:t>
            </w:r>
            <w:r>
              <w:rPr>
                <w:rFonts w:hint="eastAsia" w:ascii="仿宋_GB2312" w:hAnsi="仿宋" w:eastAsia="仿宋_GB2312"/>
                <w:sz w:val="24"/>
                <w:szCs w:val="24"/>
              </w:rPr>
              <w:t>；</w:t>
            </w:r>
          </w:p>
          <w:p>
            <w:pPr>
              <w:keepNext w:val="0"/>
              <w:keepLines w:val="0"/>
              <w:pageBreakBefore w:val="0"/>
              <w:widowControl w:val="0"/>
              <w:kinsoku/>
              <w:wordWrap/>
              <w:overflowPunct/>
              <w:topLinePunct w:val="0"/>
              <w:autoSpaceDE/>
              <w:autoSpaceDN/>
              <w:bidi w:val="0"/>
              <w:adjustRightInd w:val="0"/>
              <w:snapToGrid w:val="0"/>
              <w:spacing w:line="260" w:lineRule="exact"/>
              <w:ind w:left="1680" w:hanging="1920" w:hangingChars="800"/>
              <w:textAlignment w:val="auto"/>
              <w:rPr>
                <w:rFonts w:hint="eastAsia" w:ascii="仿宋_GB2312" w:eastAsia="仿宋_GB2312"/>
                <w:sz w:val="28"/>
                <w:highlight w:val="none"/>
              </w:rPr>
            </w:pPr>
            <w:r>
              <w:rPr>
                <w:rFonts w:hint="eastAsia" w:ascii="仿宋_GB2312" w:hAnsi="仿宋" w:eastAsia="仿宋_GB2312"/>
                <w:sz w:val="24"/>
                <w:szCs w:val="24"/>
              </w:rPr>
              <w:t>2020.01</w:t>
            </w:r>
            <w:r>
              <w:rPr>
                <w:rFonts w:hint="eastAsia" w:ascii="仿宋_GB2312" w:hAnsi="仿宋" w:eastAsia="仿宋_GB2312"/>
                <w:sz w:val="24"/>
                <w:szCs w:val="24"/>
                <w:lang w:val="en-US" w:eastAsia="zh-CN"/>
              </w:rPr>
              <w:t>至今     中铁城投成都分公司党委书记、新都动力新城项目公司董事长</w:t>
            </w:r>
            <w:r>
              <w:rPr>
                <w:rFonts w:hint="eastAsia" w:ascii="仿宋_GB2312" w:hAnsi="仿宋" w:eastAsia="仿宋_GB2312"/>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75" w:type="pct"/>
          <w:wAfter w:w="21" w:type="pct"/>
          <w:trHeight w:val="13403" w:hRule="atLeast"/>
          <w:jc w:val="center"/>
        </w:trPr>
        <w:tc>
          <w:tcPr>
            <w:tcW w:w="4904" w:type="pct"/>
            <w:gridSpan w:val="17"/>
            <w:noWrap w:val="0"/>
            <w:vAlign w:val="top"/>
          </w:tcPr>
          <w:p>
            <w:pPr>
              <w:jc w:val="center"/>
              <w:rPr>
                <w:rFonts w:hint="eastAsia" w:ascii="宋体" w:hAnsi="宋体"/>
                <w:b/>
                <w:bCs/>
                <w:spacing w:val="90"/>
                <w:sz w:val="36"/>
                <w:szCs w:val="36"/>
                <w:highlight w:val="none"/>
              </w:rPr>
            </w:pPr>
            <w:r>
              <w:rPr>
                <w:rFonts w:hint="eastAsia" w:ascii="宋体" w:hAnsi="宋体"/>
                <w:b/>
                <w:bCs/>
                <w:spacing w:val="90"/>
                <w:sz w:val="36"/>
                <w:szCs w:val="36"/>
                <w:highlight w:val="none"/>
              </w:rPr>
              <w:t>主要先进事迹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baseline"/>
              <w:rPr>
                <w:rStyle w:val="5"/>
                <w:rFonts w:hint="eastAsia" w:ascii="仿宋_GB2312" w:hAnsi="仿宋_GB2312" w:eastAsia="仿宋_GB2312" w:cs="仿宋_GB2312"/>
                <w:kern w:val="2"/>
                <w:sz w:val="24"/>
                <w:szCs w:val="24"/>
                <w:lang w:val="en-US" w:eastAsia="zh-CN" w:bidi="ar-SA"/>
              </w:rPr>
            </w:pPr>
            <w:r>
              <w:rPr>
                <w:rStyle w:val="5"/>
                <w:rFonts w:hint="eastAsia" w:ascii="仿宋_GB2312" w:hAnsi="仿宋_GB2312" w:eastAsia="仿宋_GB2312" w:cs="仿宋_GB2312"/>
                <w:kern w:val="2"/>
                <w:sz w:val="24"/>
                <w:szCs w:val="24"/>
                <w:lang w:val="en-US" w:eastAsia="zh-CN" w:bidi="ar-SA"/>
              </w:rPr>
              <w:t>成都市新都中铁动力新城建设投资有限公司是社会资本方为中铁城市发展投资集团有限公司牵头的联合体，负责天府动力新城基础设施和配套服务一期PPP项目的投融资建设，项目建设期2年，运营期15年。合同额54亿元，总建安产值24.08亿元，</w:t>
            </w:r>
            <w:r>
              <w:rPr>
                <w:rStyle w:val="5"/>
                <w:rFonts w:hint="eastAsia" w:ascii="仿宋_GB2312" w:hAnsi="仿宋_GB2312" w:eastAsia="仿宋_GB2312" w:cs="仿宋_GB2312"/>
                <w:color w:val="000000"/>
                <w:kern w:val="2"/>
                <w:sz w:val="24"/>
                <w:szCs w:val="24"/>
                <w:lang w:val="en-US" w:eastAsia="zh-CN" w:bidi="ar-SA"/>
              </w:rPr>
              <w:t>由</w:t>
            </w:r>
            <w:r>
              <w:rPr>
                <w:rStyle w:val="5"/>
                <w:rFonts w:hint="eastAsia" w:ascii="仿宋_GB2312" w:hAnsi="仿宋_GB2312" w:eastAsia="仿宋_GB2312" w:cs="仿宋_GB2312"/>
                <w:kern w:val="2"/>
                <w:sz w:val="24"/>
                <w:szCs w:val="24"/>
                <w:lang w:val="en-US" w:eastAsia="zh-CN" w:bidi="ar-SA"/>
              </w:rPr>
              <w:t>道路与地下综合管廊、安置小区、活力公园、电力改迁和燃气改迁等</w:t>
            </w:r>
            <w:r>
              <w:rPr>
                <w:rStyle w:val="5"/>
                <w:rFonts w:hint="eastAsia" w:ascii="仿宋_GB2312" w:hAnsi="仿宋_GB2312" w:eastAsia="仿宋_GB2312" w:cs="仿宋_GB2312"/>
                <w:color w:val="000000"/>
                <w:kern w:val="2"/>
                <w:sz w:val="24"/>
                <w:szCs w:val="24"/>
                <w:lang w:val="en-US" w:eastAsia="zh-CN" w:bidi="ar-SA"/>
              </w:rPr>
              <w:t>五个子项目组成</w:t>
            </w:r>
            <w:r>
              <w:rPr>
                <w:rStyle w:val="5"/>
                <w:rFonts w:hint="eastAsia" w:ascii="仿宋_GB2312" w:hAnsi="仿宋_GB2312" w:eastAsia="仿宋_GB2312" w:cs="仿宋_GB2312"/>
                <w:kern w:val="2"/>
                <w:sz w:val="24"/>
                <w:szCs w:val="24"/>
                <w:lang w:val="en-US" w:eastAsia="zh-CN" w:bidi="ar-SA"/>
              </w:rPr>
              <w:t>。作为公司董事长，肖曦同志一直奋战在项目建设前沿，为项目建设管理、安全质量、投融资管理、运营管理等作出了较大贡献。</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baseline"/>
              <w:rPr>
                <w:rStyle w:val="5"/>
                <w:rFonts w:hint="eastAsia" w:ascii="仿宋_GB2312" w:hAnsi="仿宋_GB2312" w:eastAsia="仿宋_GB2312" w:cs="仿宋_GB2312"/>
                <w:kern w:val="2"/>
                <w:sz w:val="24"/>
                <w:szCs w:val="24"/>
                <w:lang w:val="en-US" w:eastAsia="zh-CN" w:bidi="ar-SA"/>
              </w:rPr>
            </w:pPr>
            <w:r>
              <w:rPr>
                <w:rStyle w:val="5"/>
                <w:rFonts w:hint="eastAsia" w:ascii="仿宋_GB2312" w:hAnsi="仿宋_GB2312" w:eastAsia="仿宋_GB2312" w:cs="仿宋_GB2312"/>
                <w:kern w:val="2"/>
                <w:sz w:val="24"/>
                <w:szCs w:val="24"/>
                <w:lang w:val="en-US" w:eastAsia="zh-CN" w:bidi="ar-SA"/>
              </w:rPr>
              <w:t>一是狠抓项目建设，有序推进施工生产。在项目实施过程中，利用PPP项目提前介入优势，组织设计单位、施工单位全方位参与设计工作，优化子项目投资结构。通过大力开展“三确保一实现、大干四季度”“抗疫情、保增长、奋战100天”“决战决胜四季度”等劳动竞赛，先后</w:t>
            </w:r>
            <w:r>
              <w:rPr>
                <w:rFonts w:hint="eastAsia" w:ascii="仿宋_GB2312" w:hAnsi="仿宋_GB2312" w:eastAsia="仿宋_GB2312" w:cs="仿宋_GB2312"/>
                <w:sz w:val="24"/>
                <w:szCs w:val="24"/>
              </w:rPr>
              <w:t>完</w:t>
            </w:r>
            <w:r>
              <w:rPr>
                <w:rFonts w:hint="eastAsia" w:ascii="仿宋_GB2312" w:hAnsi="仿宋_GB2312" w:eastAsia="仿宋_GB2312" w:cs="仿宋_GB2312"/>
                <w:sz w:val="24"/>
                <w:szCs w:val="24"/>
                <w:lang w:val="en-US" w:eastAsia="zh-CN"/>
              </w:rPr>
              <w:t>成</w:t>
            </w:r>
            <w:r>
              <w:rPr>
                <w:rFonts w:hint="eastAsia" w:ascii="仿宋_GB2312" w:hAnsi="仿宋_GB2312" w:eastAsia="仿宋_GB2312" w:cs="仿宋_GB2312"/>
                <w:sz w:val="24"/>
                <w:szCs w:val="24"/>
              </w:rPr>
              <w:t>园区内道路</w:t>
            </w:r>
            <w:r>
              <w:rPr>
                <w:rFonts w:hint="eastAsia" w:ascii="仿宋_GB2312" w:hAnsi="仿宋_GB2312" w:eastAsia="仿宋_GB2312" w:cs="仿宋_GB2312"/>
                <w:sz w:val="24"/>
                <w:szCs w:val="24"/>
                <w:lang w:val="en-US" w:eastAsia="zh-CN"/>
              </w:rPr>
              <w:t>建设</w:t>
            </w:r>
            <w:r>
              <w:rPr>
                <w:rFonts w:hint="eastAsia" w:ascii="仿宋_GB2312" w:hAnsi="仿宋_GB2312" w:eastAsia="仿宋_GB2312" w:cs="仿宋_GB2312"/>
                <w:sz w:val="24"/>
                <w:szCs w:val="24"/>
              </w:rPr>
              <w:t>验收</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石木路南半幅道路验收开放交通运营</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钟家湾水系</w:t>
            </w:r>
            <w:r>
              <w:rPr>
                <w:rFonts w:hint="eastAsia" w:ascii="仿宋_GB2312" w:hAnsi="仿宋_GB2312" w:eastAsia="仿宋_GB2312" w:cs="仿宋_GB2312"/>
                <w:sz w:val="24"/>
                <w:szCs w:val="24"/>
                <w:lang w:val="en-US" w:eastAsia="zh-CN"/>
              </w:rPr>
              <w:t>顺利</w:t>
            </w:r>
            <w:r>
              <w:rPr>
                <w:rFonts w:hint="eastAsia" w:ascii="仿宋_GB2312" w:hAnsi="仿宋_GB2312" w:eastAsia="仿宋_GB2312" w:cs="仿宋_GB2312"/>
                <w:sz w:val="24"/>
                <w:szCs w:val="24"/>
              </w:rPr>
              <w:t>通水</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活力公园</w:t>
            </w:r>
            <w:r>
              <w:rPr>
                <w:rFonts w:hint="eastAsia" w:ascii="仿宋_GB2312" w:hAnsi="仿宋_GB2312" w:eastAsia="仿宋_GB2312" w:cs="仿宋_GB2312"/>
                <w:sz w:val="24"/>
                <w:szCs w:val="24"/>
                <w:lang w:val="en-US" w:eastAsia="zh-CN"/>
              </w:rPr>
              <w:t>建设</w:t>
            </w:r>
            <w:r>
              <w:rPr>
                <w:rFonts w:hint="eastAsia" w:ascii="仿宋_GB2312" w:hAnsi="仿宋_GB2312" w:eastAsia="仿宋_GB2312" w:cs="仿宋_GB2312"/>
                <w:sz w:val="24"/>
                <w:szCs w:val="24"/>
              </w:rPr>
              <w:t>运营</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龙石路南延线</w:t>
            </w:r>
            <w:r>
              <w:rPr>
                <w:rFonts w:hint="eastAsia" w:ascii="仿宋_GB2312" w:hAnsi="仿宋_GB2312" w:eastAsia="仿宋_GB2312" w:cs="仿宋_GB2312"/>
                <w:sz w:val="24"/>
                <w:szCs w:val="24"/>
                <w:lang w:val="en-US" w:eastAsia="zh-CN"/>
              </w:rPr>
              <w:t>建设</w:t>
            </w:r>
            <w:r>
              <w:rPr>
                <w:rFonts w:hint="eastAsia" w:ascii="仿宋_GB2312" w:hAnsi="仿宋_GB2312" w:eastAsia="仿宋_GB2312" w:cs="仿宋_GB2312"/>
                <w:sz w:val="24"/>
                <w:szCs w:val="24"/>
              </w:rPr>
              <w:t>运营，实现了园区内轨道、航空两大功能区之间的道路交通升级改造任务。上跨铁路营业线危桥改建，属于铁路营业线施工Ⅱ级风险项目，</w:t>
            </w:r>
            <w:r>
              <w:rPr>
                <w:rFonts w:hint="eastAsia" w:ascii="仿宋_GB2312" w:hAnsi="仿宋_GB2312" w:eastAsia="仿宋_GB2312" w:cs="仿宋_GB2312"/>
                <w:sz w:val="24"/>
                <w:szCs w:val="24"/>
                <w:lang w:val="en-US" w:eastAsia="zh-CN"/>
              </w:rPr>
              <w:t>肖曦</w:t>
            </w:r>
            <w:r>
              <w:rPr>
                <w:rFonts w:hint="eastAsia" w:ascii="仿宋_GB2312" w:hAnsi="仿宋_GB2312" w:eastAsia="仿宋_GB2312" w:cs="仿宋_GB2312"/>
                <w:sz w:val="24"/>
                <w:szCs w:val="24"/>
              </w:rPr>
              <w:t>始终将安全管理和质量把控放在首位，积极发挥监理单位、施工单位能动性，确保施工人员培训交底全覆盖，通过精心组织施工，上跨铁路营业线危桥改建工作下部结构已完成施工，达到简支梁架设条件</w:t>
            </w:r>
            <w:r>
              <w:rPr>
                <w:rFonts w:hint="eastAsia" w:ascii="仿宋_GB2312" w:hAnsi="仿宋_GB2312" w:eastAsia="仿宋_GB2312" w:cs="仿宋_GB2312"/>
                <w:sz w:val="24"/>
                <w:szCs w:val="24"/>
                <w:lang w:eastAsia="zh-CN"/>
              </w:rPr>
              <w:t>。</w:t>
            </w:r>
            <w:r>
              <w:rPr>
                <w:rStyle w:val="5"/>
                <w:rFonts w:hint="eastAsia" w:ascii="仿宋_GB2312" w:hAnsi="仿宋_GB2312" w:eastAsia="仿宋_GB2312" w:cs="仿宋_GB2312"/>
                <w:kern w:val="2"/>
                <w:sz w:val="24"/>
                <w:szCs w:val="24"/>
                <w:lang w:val="en-US" w:eastAsia="zh-CN" w:bidi="ar-SA"/>
              </w:rPr>
              <w:t>截止目前，开累完成建安产值15.4亿元，完成总产值的64%。</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baseline"/>
              <w:rPr>
                <w:rStyle w:val="5"/>
                <w:rFonts w:hint="default" w:ascii="仿宋_GB2312" w:hAnsi="仿宋_GB2312" w:eastAsia="仿宋_GB2312" w:cs="仿宋_GB2312"/>
                <w:kern w:val="2"/>
                <w:sz w:val="24"/>
                <w:szCs w:val="24"/>
                <w:lang w:val="en-US" w:eastAsia="zh-CN" w:bidi="ar-SA"/>
              </w:rPr>
            </w:pPr>
            <w:r>
              <w:rPr>
                <w:rStyle w:val="5"/>
                <w:rFonts w:hint="eastAsia" w:ascii="仿宋_GB2312" w:hAnsi="仿宋_GB2312" w:eastAsia="仿宋_GB2312" w:cs="仿宋_GB2312"/>
                <w:kern w:val="2"/>
                <w:sz w:val="24"/>
                <w:szCs w:val="24"/>
                <w:lang w:val="en-US" w:eastAsia="zh-CN" w:bidi="ar-SA"/>
              </w:rPr>
              <w:t>二是抓牢运营管理，切实做好运维保障。活力公园子项目和道路子项目除三木路涉铁跨线桥甩项外全部进入运营维护期。2021年实现政府运营期绩效考核活力公园子项目90.4分，道路89.3分的成绩，2022年1季度，政府实施机构按合同约定对活力公园及道路子项目进行了运营绩效考核，考核结果为：活力公园子项目93.7分，道路子项目92.05分，运营效果良好，为当地经济社会发展和民生保障提供了良好服务。</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baseline"/>
              <w:rPr>
                <w:rStyle w:val="5"/>
                <w:rFonts w:hint="eastAsia" w:ascii="仿宋_GB2312" w:hAnsi="仿宋_GB2312" w:eastAsia="仿宋_GB2312" w:cs="仿宋_GB2312"/>
                <w:kern w:val="2"/>
                <w:sz w:val="24"/>
                <w:szCs w:val="24"/>
                <w:lang w:val="en-US" w:eastAsia="zh-CN" w:bidi="ar-SA"/>
              </w:rPr>
            </w:pPr>
            <w:r>
              <w:rPr>
                <w:rStyle w:val="5"/>
                <w:rFonts w:hint="eastAsia" w:ascii="仿宋_GB2312" w:hAnsi="仿宋_GB2312" w:eastAsia="仿宋_GB2312" w:cs="仿宋_GB2312"/>
                <w:kern w:val="2"/>
                <w:sz w:val="24"/>
                <w:szCs w:val="24"/>
                <w:lang w:val="en-US" w:eastAsia="zh-CN" w:bidi="ar-SA"/>
              </w:rPr>
              <w:t>三是坚持党建引领，促进项目管理。肖曦作为公司董事长，一直坚持以习近平新时代中国特色社会主义思想为指导，以常态化教育活动为抓手，努力推动党员学习教育常态化、制度化、规范化；严格落实党组织议事前置程序，确保公司“三重一大”事项党组织前置研究，确保决策科学、民主；以“三会一课”为载体，坚持通过理论学习武装头脑、指导实践、推动工作，有效加快了项目建设。</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baseline"/>
              <w:rPr>
                <w:rStyle w:val="5"/>
                <w:rFonts w:hint="eastAsia" w:ascii="仿宋_GB2312" w:hAnsi="仿宋_GB2312" w:eastAsia="仿宋_GB2312" w:cs="仿宋_GB2312"/>
                <w:kern w:val="2"/>
                <w:sz w:val="24"/>
                <w:szCs w:val="24"/>
                <w:lang w:val="en-US" w:eastAsia="zh-CN" w:bidi="ar-SA"/>
              </w:rPr>
            </w:pPr>
            <w:r>
              <w:rPr>
                <w:rStyle w:val="5"/>
                <w:rFonts w:hint="eastAsia" w:ascii="仿宋_GB2312" w:hAnsi="仿宋_GB2312" w:eastAsia="仿宋_GB2312" w:cs="仿宋_GB2312"/>
                <w:kern w:val="2"/>
                <w:sz w:val="24"/>
                <w:szCs w:val="24"/>
                <w:lang w:val="en-US" w:eastAsia="zh-CN" w:bidi="ar-SA"/>
              </w:rPr>
              <w:t>在肖曦的坚强领导下，动力新城项目公司先后获评中铁城投集团“先进基层党组织”、中国中铁“示范党支部”、新都交管委“先进基层党组织”、成都市五一劳动奖状、</w:t>
            </w:r>
            <w:r>
              <w:rPr>
                <w:rFonts w:hint="eastAsia" w:ascii="仿宋_GB2312" w:hAnsi="仿宋_GB2312" w:eastAsia="仿宋_GB2312" w:cs="仿宋_GB2312"/>
                <w:sz w:val="24"/>
                <w:szCs w:val="24"/>
              </w:rPr>
              <w:t>新冠肺炎疫情期间全市重点项目业主先进单位</w:t>
            </w:r>
            <w:r>
              <w:rPr>
                <w:rFonts w:hint="eastAsia" w:ascii="仿宋_GB2312" w:hAnsi="仿宋_GB2312" w:eastAsia="仿宋_GB2312" w:cs="仿宋_GB2312"/>
                <w:sz w:val="24"/>
                <w:szCs w:val="24"/>
                <w:lang w:eastAsia="zh-CN"/>
              </w:rPr>
              <w:t>、</w:t>
            </w:r>
            <w:r>
              <w:rPr>
                <w:rFonts w:hint="eastAsia" w:ascii="仿宋_GB2312" w:eastAsia="仿宋_GB2312"/>
                <w:sz w:val="24"/>
              </w:rPr>
              <w:t>四川省全省政府与社会资本（PPP)示范项目</w:t>
            </w:r>
            <w:r>
              <w:rPr>
                <w:rStyle w:val="5"/>
                <w:rFonts w:hint="eastAsia" w:ascii="仿宋_GB2312" w:hAnsi="仿宋_GB2312" w:eastAsia="仿宋_GB2312" w:cs="仿宋_GB2312"/>
                <w:kern w:val="2"/>
                <w:sz w:val="24"/>
                <w:szCs w:val="24"/>
                <w:lang w:val="en-US" w:eastAsia="zh-CN" w:bidi="ar-SA"/>
              </w:rPr>
              <w:t>等荣誉。</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left"/>
              <w:textAlignment w:val="baseline"/>
              <w:rPr>
                <w:rStyle w:val="5"/>
                <w:rFonts w:hint="eastAsia" w:ascii="仿宋_GB2312" w:hAnsi="仿宋_GB2312" w:eastAsia="仿宋_GB2312" w:cs="仿宋_GB2312"/>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05" w:type="pct"/>
          <w:cantSplit/>
          <w:trHeight w:val="2486" w:hRule="atLeast"/>
          <w:jc w:val="center"/>
        </w:trPr>
        <w:tc>
          <w:tcPr>
            <w:tcW w:w="850" w:type="pct"/>
            <w:gridSpan w:val="3"/>
            <w:noWrap w:val="0"/>
            <w:vAlign w:val="center"/>
          </w:tcPr>
          <w:p>
            <w:pPr>
              <w:jc w:val="center"/>
              <w:rPr>
                <w:rFonts w:hint="eastAsia" w:ascii="仿宋_GB2312" w:eastAsia="仿宋_GB2312"/>
                <w:spacing w:val="20"/>
                <w:sz w:val="30"/>
                <w:szCs w:val="30"/>
                <w:highlight w:val="none"/>
              </w:rPr>
            </w:pPr>
            <w:r>
              <w:rPr>
                <w:rFonts w:hint="eastAsia" w:ascii="仿宋_GB2312" w:eastAsia="仿宋_GB2312"/>
                <w:spacing w:val="20"/>
                <w:sz w:val="30"/>
                <w:szCs w:val="30"/>
                <w:highlight w:val="none"/>
              </w:rPr>
              <w:t>所在单位工会意见</w:t>
            </w:r>
          </w:p>
        </w:tc>
        <w:tc>
          <w:tcPr>
            <w:tcW w:w="1566" w:type="pct"/>
            <w:gridSpan w:val="6"/>
            <w:noWrap w:val="0"/>
            <w:vAlign w:val="center"/>
          </w:tcPr>
          <w:p>
            <w:pPr>
              <w:rPr>
                <w:rFonts w:hint="eastAsia" w:ascii="仿宋_GB2312" w:eastAsia="仿宋_GB2312"/>
                <w:spacing w:val="20"/>
                <w:sz w:val="30"/>
                <w:szCs w:val="30"/>
                <w:highlight w:val="none"/>
              </w:rPr>
            </w:pPr>
          </w:p>
          <w:p>
            <w:pPr>
              <w:rPr>
                <w:rFonts w:hint="eastAsia" w:ascii="仿宋_GB2312" w:eastAsia="仿宋_GB2312"/>
                <w:spacing w:val="20"/>
                <w:sz w:val="24"/>
                <w:szCs w:val="24"/>
                <w:highlight w:val="none"/>
                <w:lang w:val="en-US" w:eastAsia="zh-CN"/>
              </w:rPr>
            </w:pPr>
            <w:r>
              <w:rPr>
                <w:rFonts w:hint="eastAsia" w:ascii="仿宋_GB2312" w:eastAsia="仿宋_GB2312"/>
                <w:spacing w:val="20"/>
                <w:sz w:val="24"/>
                <w:szCs w:val="24"/>
                <w:highlight w:val="none"/>
                <w:lang w:val="en-US" w:eastAsia="zh-CN"/>
              </w:rPr>
              <w:t>同意推荐。</w:t>
            </w:r>
          </w:p>
          <w:p>
            <w:pPr>
              <w:pStyle w:val="2"/>
              <w:rPr>
                <w:rFonts w:hint="eastAsia"/>
                <w:lang w:val="en-US" w:eastAsia="zh-CN"/>
              </w:rPr>
            </w:pPr>
          </w:p>
          <w:p>
            <w:pPr>
              <w:ind w:firstLine="900" w:firstLineChars="300"/>
              <w:rPr>
                <w:rFonts w:hint="eastAsia" w:ascii="仿宋_GB2312" w:eastAsia="仿宋_GB2312"/>
                <w:sz w:val="30"/>
                <w:szCs w:val="30"/>
                <w:highlight w:val="none"/>
              </w:rPr>
            </w:pPr>
            <w:r>
              <w:rPr>
                <w:rFonts w:hint="eastAsia" w:ascii="仿宋_GB2312" w:eastAsia="仿宋_GB2312"/>
                <w:sz w:val="30"/>
                <w:szCs w:val="30"/>
                <w:highlight w:val="none"/>
              </w:rPr>
              <w:t>年   月   日</w:t>
            </w:r>
          </w:p>
        </w:tc>
        <w:tc>
          <w:tcPr>
            <w:tcW w:w="796" w:type="pct"/>
            <w:gridSpan w:val="3"/>
            <w:noWrap w:val="0"/>
            <w:vAlign w:val="center"/>
          </w:tcPr>
          <w:p>
            <w:pPr>
              <w:rPr>
                <w:rFonts w:hint="eastAsia" w:ascii="仿宋_GB2312" w:eastAsia="仿宋_GB2312"/>
                <w:spacing w:val="20"/>
                <w:sz w:val="30"/>
                <w:szCs w:val="30"/>
                <w:highlight w:val="none"/>
              </w:rPr>
            </w:pPr>
            <w:r>
              <w:rPr>
                <w:rFonts w:hint="eastAsia" w:ascii="仿宋_GB2312" w:eastAsia="仿宋_GB2312"/>
                <w:spacing w:val="20"/>
                <w:sz w:val="30"/>
                <w:szCs w:val="30"/>
                <w:highlight w:val="none"/>
              </w:rPr>
              <w:t>所在单位</w:t>
            </w:r>
            <w:r>
              <w:rPr>
                <w:rFonts w:hint="eastAsia" w:ascii="仿宋_GB2312" w:eastAsia="仿宋_GB2312"/>
                <w:spacing w:val="-6"/>
                <w:sz w:val="30"/>
                <w:szCs w:val="30"/>
                <w:highlight w:val="none"/>
              </w:rPr>
              <w:t>职代会意见</w:t>
            </w:r>
          </w:p>
        </w:tc>
        <w:tc>
          <w:tcPr>
            <w:tcW w:w="1683" w:type="pct"/>
            <w:gridSpan w:val="5"/>
            <w:noWrap w:val="0"/>
            <w:vAlign w:val="center"/>
          </w:tcPr>
          <w:p>
            <w:pPr>
              <w:rPr>
                <w:rFonts w:hint="eastAsia" w:ascii="仿宋_GB2312" w:eastAsia="仿宋_GB2312"/>
                <w:spacing w:val="20"/>
                <w:sz w:val="24"/>
                <w:szCs w:val="24"/>
                <w:highlight w:val="none"/>
              </w:rPr>
            </w:pPr>
            <w:r>
              <w:rPr>
                <w:rFonts w:hint="eastAsia" w:ascii="仿宋_GB2312" w:eastAsia="仿宋_GB2312"/>
                <w:spacing w:val="20"/>
                <w:sz w:val="24"/>
                <w:szCs w:val="24"/>
                <w:highlight w:val="none"/>
                <w:lang w:val="en-US" w:eastAsia="zh-CN"/>
              </w:rPr>
              <w:t>成都分公司于2022年11月11日组织召开职代会，参会人员12人，12人</w:t>
            </w:r>
            <w:r>
              <w:rPr>
                <w:rFonts w:hint="eastAsia" w:ascii="仿宋_GB2312" w:hAnsi="Times New Roman" w:eastAsia="仿宋_GB2312" w:cs="Times New Roman"/>
                <w:kern w:val="2"/>
                <w:sz w:val="24"/>
                <w:szCs w:val="24"/>
                <w:lang w:val="en-US" w:eastAsia="zh-CN" w:bidi="ar-SA"/>
              </w:rPr>
              <w:t>同意推荐</w:t>
            </w:r>
            <w:r>
              <w:rPr>
                <w:rFonts w:hint="eastAsia" w:ascii="仿宋_GB2312" w:eastAsia="仿宋_GB2312"/>
                <w:spacing w:val="20"/>
                <w:sz w:val="24"/>
                <w:szCs w:val="24"/>
                <w:highlight w:val="none"/>
                <w:lang w:val="en-US" w:eastAsia="zh-CN"/>
              </w:rPr>
              <w:t>肖曦参评</w:t>
            </w:r>
            <w:r>
              <w:rPr>
                <w:rFonts w:hint="eastAsia" w:ascii="仿宋_GB2312" w:hAnsi="Times New Roman" w:eastAsia="仿宋_GB2312" w:cs="Times New Roman"/>
                <w:kern w:val="2"/>
                <w:sz w:val="24"/>
                <w:szCs w:val="24"/>
                <w:lang w:val="en-US" w:eastAsia="zh-CN" w:bidi="ar-SA"/>
              </w:rPr>
              <w:t>成都市五一劳动奖章。</w:t>
            </w:r>
          </w:p>
          <w:p>
            <w:pPr>
              <w:ind w:firstLine="900" w:firstLineChars="300"/>
              <w:rPr>
                <w:rFonts w:hint="eastAsia" w:ascii="仿宋_GB2312" w:eastAsia="仿宋_GB2312"/>
                <w:sz w:val="30"/>
                <w:szCs w:val="30"/>
                <w:highlight w:val="none"/>
              </w:rPr>
            </w:pPr>
            <w:r>
              <w:rPr>
                <w:rFonts w:hint="eastAsia" w:ascii="仿宋_GB2312" w:eastAsia="仿宋_GB2312"/>
                <w:sz w:val="30"/>
                <w:szCs w:val="30"/>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05" w:type="pct"/>
          <w:cantSplit/>
          <w:trHeight w:val="2903" w:hRule="atLeast"/>
          <w:jc w:val="center"/>
        </w:trPr>
        <w:tc>
          <w:tcPr>
            <w:tcW w:w="850" w:type="pct"/>
            <w:gridSpan w:val="3"/>
            <w:noWrap w:val="0"/>
            <w:vAlign w:val="center"/>
          </w:tcPr>
          <w:p>
            <w:pPr>
              <w:jc w:val="center"/>
              <w:rPr>
                <w:rFonts w:hint="eastAsia" w:ascii="仿宋_GB2312" w:eastAsia="仿宋_GB2312"/>
                <w:spacing w:val="20"/>
                <w:sz w:val="30"/>
                <w:szCs w:val="30"/>
                <w:highlight w:val="none"/>
              </w:rPr>
            </w:pPr>
            <w:r>
              <w:rPr>
                <w:rFonts w:hint="eastAsia" w:ascii="仿宋_GB2312" w:eastAsia="仿宋_GB2312"/>
                <w:spacing w:val="20"/>
                <w:sz w:val="30"/>
                <w:szCs w:val="30"/>
                <w:highlight w:val="none"/>
              </w:rPr>
              <w:t>所在单位</w:t>
            </w:r>
            <w:r>
              <w:rPr>
                <w:rFonts w:hint="eastAsia" w:ascii="仿宋_GB2312" w:eastAsia="仿宋_GB2312"/>
                <w:spacing w:val="20"/>
                <w:sz w:val="30"/>
                <w:szCs w:val="30"/>
                <w:highlight w:val="none"/>
                <w:lang w:val="en-US" w:eastAsia="zh-CN"/>
              </w:rPr>
              <w:t>上级工会</w:t>
            </w:r>
            <w:r>
              <w:rPr>
                <w:rFonts w:hint="eastAsia" w:ascii="仿宋_GB2312" w:eastAsia="仿宋_GB2312"/>
                <w:spacing w:val="-6"/>
                <w:sz w:val="30"/>
                <w:szCs w:val="30"/>
                <w:highlight w:val="none"/>
              </w:rPr>
              <w:t>意见</w:t>
            </w:r>
          </w:p>
        </w:tc>
        <w:tc>
          <w:tcPr>
            <w:tcW w:w="1566" w:type="pct"/>
            <w:gridSpan w:val="6"/>
            <w:noWrap w:val="0"/>
            <w:vAlign w:val="center"/>
          </w:tcPr>
          <w:p>
            <w:pPr>
              <w:rPr>
                <w:rFonts w:hint="eastAsia" w:ascii="仿宋_GB2312" w:eastAsia="仿宋_GB2312"/>
                <w:spacing w:val="20"/>
                <w:sz w:val="30"/>
                <w:szCs w:val="30"/>
                <w:highlight w:val="none"/>
              </w:rPr>
            </w:pPr>
          </w:p>
          <w:p>
            <w:pPr>
              <w:rPr>
                <w:rFonts w:hint="eastAsia" w:ascii="仿宋_GB2312" w:eastAsia="仿宋_GB2312"/>
                <w:spacing w:val="20"/>
                <w:sz w:val="30"/>
                <w:szCs w:val="30"/>
                <w:highlight w:val="none"/>
              </w:rPr>
            </w:pPr>
          </w:p>
          <w:p>
            <w:pPr>
              <w:rPr>
                <w:rFonts w:hint="eastAsia" w:ascii="仿宋_GB2312" w:eastAsia="仿宋_GB2312"/>
                <w:spacing w:val="20"/>
                <w:sz w:val="30"/>
                <w:szCs w:val="30"/>
                <w:highlight w:val="none"/>
              </w:rPr>
            </w:pPr>
          </w:p>
          <w:p>
            <w:pPr>
              <w:ind w:firstLine="900" w:firstLineChars="300"/>
              <w:rPr>
                <w:rFonts w:hint="eastAsia" w:ascii="仿宋_GB2312" w:eastAsia="仿宋_GB2312"/>
                <w:sz w:val="30"/>
                <w:szCs w:val="30"/>
                <w:highlight w:val="none"/>
              </w:rPr>
            </w:pPr>
            <w:r>
              <w:rPr>
                <w:rFonts w:hint="eastAsia" w:ascii="仿宋_GB2312" w:eastAsia="仿宋_GB2312"/>
                <w:sz w:val="30"/>
                <w:szCs w:val="30"/>
                <w:highlight w:val="none"/>
              </w:rPr>
              <w:t>年   月   日</w:t>
            </w:r>
          </w:p>
        </w:tc>
        <w:tc>
          <w:tcPr>
            <w:tcW w:w="796" w:type="pct"/>
            <w:gridSpan w:val="3"/>
            <w:noWrap w:val="0"/>
            <w:vAlign w:val="center"/>
          </w:tcPr>
          <w:p>
            <w:pPr>
              <w:spacing w:line="400" w:lineRule="exact"/>
              <w:rPr>
                <w:rFonts w:hint="eastAsia" w:ascii="仿宋_GB2312" w:eastAsia="仿宋_GB2312"/>
                <w:spacing w:val="20"/>
                <w:sz w:val="30"/>
                <w:szCs w:val="30"/>
                <w:highlight w:val="none"/>
              </w:rPr>
            </w:pPr>
            <w:r>
              <w:rPr>
                <w:rFonts w:hint="eastAsia" w:ascii="仿宋_GB2312" w:eastAsia="仿宋_GB2312"/>
                <w:spacing w:val="20"/>
                <w:sz w:val="30"/>
                <w:szCs w:val="30"/>
                <w:highlight w:val="none"/>
              </w:rPr>
              <w:t>市总产业工会意见</w:t>
            </w:r>
          </w:p>
        </w:tc>
        <w:tc>
          <w:tcPr>
            <w:tcW w:w="1683" w:type="pct"/>
            <w:gridSpan w:val="5"/>
            <w:noWrap w:val="0"/>
            <w:vAlign w:val="center"/>
          </w:tcPr>
          <w:p>
            <w:pPr>
              <w:rPr>
                <w:rFonts w:hint="eastAsia" w:ascii="仿宋_GB2312" w:eastAsia="仿宋_GB2312"/>
                <w:spacing w:val="20"/>
                <w:sz w:val="30"/>
                <w:szCs w:val="30"/>
                <w:highlight w:val="none"/>
              </w:rPr>
            </w:pPr>
          </w:p>
          <w:p>
            <w:pPr>
              <w:rPr>
                <w:rFonts w:hint="eastAsia" w:ascii="仿宋_GB2312" w:eastAsia="仿宋_GB2312"/>
                <w:spacing w:val="20"/>
                <w:sz w:val="30"/>
                <w:szCs w:val="30"/>
                <w:highlight w:val="none"/>
              </w:rPr>
            </w:pPr>
          </w:p>
          <w:p>
            <w:pPr>
              <w:rPr>
                <w:rFonts w:hint="eastAsia" w:ascii="仿宋_GB2312" w:eastAsia="仿宋_GB2312"/>
                <w:spacing w:val="20"/>
                <w:sz w:val="30"/>
                <w:szCs w:val="30"/>
                <w:highlight w:val="none"/>
              </w:rPr>
            </w:pPr>
          </w:p>
          <w:p>
            <w:pPr>
              <w:ind w:firstLine="900" w:firstLineChars="300"/>
              <w:rPr>
                <w:rFonts w:hint="eastAsia" w:ascii="仿宋_GB2312" w:eastAsia="仿宋_GB2312"/>
                <w:sz w:val="30"/>
                <w:szCs w:val="30"/>
                <w:highlight w:val="none"/>
              </w:rPr>
            </w:pPr>
            <w:r>
              <w:rPr>
                <w:rFonts w:hint="eastAsia" w:ascii="仿宋_GB2312" w:eastAsia="仿宋_GB2312"/>
                <w:sz w:val="30"/>
                <w:szCs w:val="30"/>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2"/>
          <w:wBefore w:w="105" w:type="pct"/>
          <w:cantSplit/>
          <w:trHeight w:val="2607" w:hRule="atLeast"/>
          <w:jc w:val="center"/>
        </w:trPr>
        <w:tc>
          <w:tcPr>
            <w:tcW w:w="850" w:type="pct"/>
            <w:gridSpan w:val="3"/>
            <w:noWrap w:val="0"/>
            <w:vAlign w:val="center"/>
          </w:tcPr>
          <w:p>
            <w:pPr>
              <w:jc w:val="center"/>
              <w:rPr>
                <w:rFonts w:hint="eastAsia" w:ascii="仿宋_GB2312" w:eastAsia="仿宋_GB2312"/>
                <w:spacing w:val="20"/>
                <w:sz w:val="30"/>
                <w:szCs w:val="30"/>
                <w:highlight w:val="none"/>
              </w:rPr>
            </w:pPr>
            <w:r>
              <w:rPr>
                <w:rFonts w:hint="eastAsia" w:ascii="仿宋_GB2312" w:eastAsia="仿宋_GB2312"/>
                <w:spacing w:val="20"/>
                <w:sz w:val="30"/>
                <w:szCs w:val="30"/>
                <w:highlight w:val="none"/>
              </w:rPr>
              <w:t>成都市</w:t>
            </w:r>
          </w:p>
          <w:p>
            <w:pPr>
              <w:jc w:val="center"/>
              <w:rPr>
                <w:rFonts w:hint="eastAsia" w:ascii="仿宋_GB2312" w:eastAsia="仿宋_GB2312"/>
                <w:spacing w:val="20"/>
                <w:sz w:val="30"/>
                <w:szCs w:val="30"/>
                <w:highlight w:val="none"/>
              </w:rPr>
            </w:pPr>
            <w:r>
              <w:rPr>
                <w:rFonts w:hint="eastAsia" w:ascii="仿宋_GB2312" w:eastAsia="仿宋_GB2312"/>
                <w:spacing w:val="20"/>
                <w:sz w:val="30"/>
                <w:szCs w:val="30"/>
                <w:highlight w:val="none"/>
              </w:rPr>
              <w:t>总工会</w:t>
            </w:r>
          </w:p>
          <w:p>
            <w:pPr>
              <w:jc w:val="center"/>
              <w:rPr>
                <w:rFonts w:hint="eastAsia" w:ascii="仿宋_GB2312" w:eastAsia="仿宋_GB2312"/>
                <w:spacing w:val="20"/>
                <w:sz w:val="30"/>
                <w:szCs w:val="30"/>
                <w:highlight w:val="none"/>
              </w:rPr>
            </w:pPr>
            <w:r>
              <w:rPr>
                <w:rFonts w:hint="eastAsia" w:ascii="仿宋_GB2312" w:eastAsia="仿宋_GB2312"/>
                <w:spacing w:val="20"/>
                <w:sz w:val="30"/>
                <w:szCs w:val="30"/>
                <w:highlight w:val="none"/>
              </w:rPr>
              <w:t>审批意见</w:t>
            </w:r>
          </w:p>
        </w:tc>
        <w:tc>
          <w:tcPr>
            <w:tcW w:w="4045" w:type="pct"/>
            <w:gridSpan w:val="14"/>
            <w:noWrap w:val="0"/>
            <w:vAlign w:val="center"/>
          </w:tcPr>
          <w:p>
            <w:pPr>
              <w:rPr>
                <w:rFonts w:hint="eastAsia" w:ascii="仿宋_GB2312" w:eastAsia="仿宋_GB2312"/>
                <w:spacing w:val="20"/>
                <w:sz w:val="30"/>
                <w:szCs w:val="30"/>
                <w:highlight w:val="none"/>
              </w:rPr>
            </w:pPr>
          </w:p>
          <w:p>
            <w:pPr>
              <w:rPr>
                <w:rFonts w:hint="eastAsia" w:ascii="仿宋_GB2312" w:eastAsia="仿宋_GB2312"/>
                <w:spacing w:val="20"/>
                <w:sz w:val="30"/>
                <w:szCs w:val="30"/>
                <w:highlight w:val="none"/>
              </w:rPr>
            </w:pPr>
          </w:p>
          <w:p>
            <w:pPr>
              <w:rPr>
                <w:rFonts w:hint="eastAsia" w:ascii="仿宋_GB2312" w:eastAsia="仿宋_GB2312"/>
                <w:spacing w:val="20"/>
                <w:sz w:val="30"/>
                <w:szCs w:val="30"/>
                <w:highlight w:val="none"/>
              </w:rPr>
            </w:pPr>
          </w:p>
          <w:p>
            <w:pPr>
              <w:ind w:firstLine="4833" w:firstLineChars="1611"/>
              <w:rPr>
                <w:rFonts w:hint="eastAsia" w:ascii="仿宋_GB2312" w:eastAsia="仿宋_GB2312"/>
                <w:sz w:val="30"/>
                <w:szCs w:val="30"/>
                <w:highlight w:val="none"/>
              </w:rPr>
            </w:pPr>
            <w:r>
              <w:rPr>
                <w:rFonts w:hint="eastAsia" w:ascii="仿宋_GB2312" w:eastAsia="仿宋_GB2312"/>
                <w:sz w:val="30"/>
                <w:szCs w:val="30"/>
                <w:highlight w:val="none"/>
              </w:rPr>
              <w:t>年    月    日</w:t>
            </w:r>
          </w:p>
        </w:tc>
      </w:tr>
    </w:tbl>
    <w:p>
      <w:pPr>
        <w:spacing w:line="280" w:lineRule="exact"/>
        <w:rPr>
          <w:rFonts w:hint="eastAsia" w:ascii="楷体_GB2312" w:eastAsia="楷体_GB2312"/>
          <w:b/>
          <w:bCs/>
          <w:spacing w:val="20"/>
          <w:sz w:val="24"/>
          <w:highlight w:val="none"/>
        </w:rPr>
      </w:pPr>
    </w:p>
    <w:p>
      <w:pPr>
        <w:spacing w:line="280" w:lineRule="exact"/>
        <w:rPr>
          <w:rFonts w:hint="eastAsia" w:ascii="楷体_GB2312" w:eastAsia="楷体_GB2312"/>
          <w:b/>
          <w:bCs/>
          <w:spacing w:val="20"/>
          <w:sz w:val="24"/>
          <w:highlight w:val="none"/>
        </w:rPr>
      </w:pPr>
      <w:r>
        <w:rPr>
          <w:rFonts w:hint="eastAsia" w:ascii="楷体_GB2312" w:eastAsia="楷体_GB2312"/>
          <w:b/>
          <w:bCs/>
          <w:spacing w:val="20"/>
          <w:sz w:val="24"/>
          <w:highlight w:val="none"/>
        </w:rPr>
        <w:t>填表说明：</w:t>
      </w:r>
    </w:p>
    <w:p>
      <w:pPr>
        <w:spacing w:line="260" w:lineRule="exact"/>
        <w:ind w:firstLine="560" w:firstLineChars="200"/>
        <w:rPr>
          <w:rFonts w:hint="eastAsia" w:ascii="楷体_GB2312" w:eastAsia="楷体_GB2312"/>
          <w:bCs/>
          <w:spacing w:val="20"/>
          <w:sz w:val="24"/>
          <w:highlight w:val="none"/>
        </w:rPr>
      </w:pPr>
      <w:r>
        <w:rPr>
          <w:rFonts w:hint="eastAsia" w:ascii="楷体_GB2312" w:eastAsia="楷体_GB2312"/>
          <w:bCs/>
          <w:spacing w:val="20"/>
          <w:sz w:val="24"/>
          <w:highlight w:val="none"/>
        </w:rPr>
        <w:t>1.此表一式3份，填写时请勿改动表格格式、页面设置及</w:t>
      </w:r>
      <w:r>
        <w:rPr>
          <w:rFonts w:hint="eastAsia" w:eastAsia="楷体_GB2312"/>
          <w:sz w:val="24"/>
          <w:highlight w:val="none"/>
        </w:rPr>
        <w:t>原有字体</w:t>
      </w:r>
      <w:r>
        <w:rPr>
          <w:rFonts w:hint="eastAsia" w:ascii="楷体_GB2312" w:eastAsia="楷体_GB2312"/>
          <w:bCs/>
          <w:spacing w:val="20"/>
          <w:sz w:val="24"/>
          <w:highlight w:val="none"/>
        </w:rPr>
        <w:t>，不得加页，表格所有需要填写的内容全部用打印方式填写，需要填写的内容全部使用仿宋GB2312小四号字，数字统一使用阿拉伯数字</w:t>
      </w:r>
      <w:r>
        <w:rPr>
          <w:rFonts w:hint="eastAsia" w:ascii="楷体_GB2312" w:eastAsia="楷体_GB2312"/>
          <w:bCs/>
          <w:spacing w:val="20"/>
          <w:sz w:val="24"/>
          <w:highlight w:val="none"/>
        </w:rPr>
        <w:tab/>
      </w:r>
      <w:r>
        <w:rPr>
          <w:rFonts w:hint="eastAsia" w:ascii="楷体_GB2312" w:eastAsia="楷体_GB2312"/>
          <w:bCs/>
          <w:spacing w:val="20"/>
          <w:sz w:val="24"/>
          <w:highlight w:val="none"/>
        </w:rPr>
        <w:t>。填写好后，用A3纸张对折双面打印印制成册。</w:t>
      </w:r>
    </w:p>
    <w:p>
      <w:pPr>
        <w:spacing w:line="260" w:lineRule="exact"/>
        <w:ind w:firstLine="560" w:firstLineChars="200"/>
        <w:rPr>
          <w:rFonts w:hint="eastAsia" w:ascii="楷体_GB2312" w:eastAsia="楷体_GB2312"/>
          <w:bCs/>
          <w:spacing w:val="20"/>
          <w:sz w:val="24"/>
          <w:highlight w:val="none"/>
        </w:rPr>
      </w:pPr>
      <w:r>
        <w:rPr>
          <w:rFonts w:hint="eastAsia" w:ascii="楷体_GB2312" w:eastAsia="楷体_GB2312"/>
          <w:bCs/>
          <w:spacing w:val="20"/>
          <w:sz w:val="24"/>
          <w:highlight w:val="none"/>
        </w:rPr>
        <w:t>2.单位名称必须填写准确全称。</w:t>
      </w:r>
    </w:p>
    <w:p>
      <w:pPr>
        <w:spacing w:line="260" w:lineRule="exact"/>
        <w:ind w:firstLine="560" w:firstLineChars="200"/>
        <w:rPr>
          <w:rFonts w:hint="eastAsia" w:ascii="楷体_GB2312" w:eastAsia="楷体_GB2312"/>
          <w:bCs/>
          <w:spacing w:val="20"/>
          <w:sz w:val="24"/>
          <w:highlight w:val="none"/>
        </w:rPr>
      </w:pPr>
      <w:r>
        <w:rPr>
          <w:rFonts w:hint="eastAsia" w:ascii="楷体_GB2312" w:eastAsia="楷体_GB2312"/>
          <w:bCs/>
          <w:spacing w:val="20"/>
          <w:sz w:val="24"/>
          <w:highlight w:val="none"/>
        </w:rPr>
        <w:t>3.单位类型指国有企业、集体企业、股份合作企业、联营企业、有限责任公司、股份有限公司、私营企业，港、澳、台商投资企业，外商投资企业，行政机关、事业单位和社会团体，其他。</w:t>
      </w:r>
    </w:p>
    <w:p>
      <w:pPr>
        <w:spacing w:line="260" w:lineRule="exact"/>
        <w:ind w:firstLine="560" w:firstLineChars="200"/>
        <w:rPr>
          <w:rFonts w:hint="eastAsia" w:ascii="楷体_GB2312" w:eastAsia="楷体_GB2312"/>
          <w:bCs/>
          <w:spacing w:val="20"/>
          <w:sz w:val="24"/>
          <w:highlight w:val="none"/>
        </w:rPr>
      </w:pPr>
      <w:r>
        <w:rPr>
          <w:rFonts w:hint="eastAsia" w:ascii="楷体_GB2312" w:eastAsia="楷体_GB2312"/>
          <w:bCs/>
          <w:spacing w:val="20"/>
          <w:sz w:val="24"/>
          <w:highlight w:val="none"/>
        </w:rPr>
        <w:t>4.所属行业包括农、林、牧、渔业，采矿业，制造业，电力、燃气及水的生产和供应业，建筑业，交通运输、仓储和邮政业，信息传输、计算机服务和软件业，批发和零售业，住宿和餐饮业，金融业，房地产业，租赁和商务服务业，科学研究、技术服务和地质勘查业，水利、环境和公共设施管理业，居民服务和其他服务业，教育，卫生、社会保障和社会福利业，文化、体育和娱乐业，公共管理和社会组织，其他。</w:t>
      </w:r>
    </w:p>
    <w:p>
      <w:pPr>
        <w:spacing w:line="260" w:lineRule="exact"/>
        <w:ind w:firstLine="560" w:firstLineChars="200"/>
        <w:rPr>
          <w:rFonts w:hint="eastAsia" w:ascii="楷体_GB2312" w:eastAsia="楷体_GB2312"/>
          <w:bCs/>
          <w:spacing w:val="20"/>
          <w:sz w:val="24"/>
          <w:highlight w:val="none"/>
        </w:rPr>
      </w:pPr>
      <w:r>
        <w:rPr>
          <w:rFonts w:hint="eastAsia" w:ascii="楷体_GB2312" w:eastAsia="楷体_GB2312"/>
          <w:bCs/>
          <w:spacing w:val="20"/>
          <w:sz w:val="24"/>
          <w:highlight w:val="none"/>
        </w:rPr>
        <w:t>5.“所在单位职代会意见”须注明开会的形式、时间、出席人数（应到和实到人数）、所形成的意见。</w:t>
      </w:r>
    </w:p>
    <w:p>
      <w:pPr>
        <w:spacing w:line="260" w:lineRule="exact"/>
        <w:ind w:firstLine="560" w:firstLineChars="200"/>
        <w:rPr>
          <w:rFonts w:hint="eastAsia" w:ascii="楷体_GB2312" w:eastAsia="楷体_GB2312"/>
          <w:bCs/>
          <w:spacing w:val="20"/>
          <w:sz w:val="24"/>
          <w:highlight w:val="none"/>
        </w:rPr>
      </w:pPr>
      <w:r>
        <w:rPr>
          <w:rFonts w:hint="eastAsia" w:ascii="楷体_GB2312" w:eastAsia="楷体_GB2312"/>
          <w:bCs/>
          <w:spacing w:val="20"/>
          <w:sz w:val="24"/>
          <w:highlight w:val="none"/>
        </w:rPr>
        <w:t>6.个人简历从学徒或初中毕业填起。</w:t>
      </w:r>
    </w:p>
    <w:p>
      <w:pPr>
        <w:spacing w:line="260" w:lineRule="exact"/>
        <w:ind w:firstLine="560" w:firstLineChars="200"/>
      </w:pPr>
      <w:r>
        <w:rPr>
          <w:rFonts w:hint="eastAsia" w:ascii="楷体_GB2312" w:eastAsia="楷体_GB2312"/>
          <w:bCs/>
          <w:spacing w:val="20"/>
          <w:sz w:val="24"/>
          <w:highlight w:val="none"/>
        </w:rPr>
        <w:t>7.推荐单位指区(市)县总工会(办事处)或产业工会。</w:t>
      </w:r>
    </w:p>
    <w:sectPr>
      <w:pgSz w:w="11906" w:h="16838"/>
      <w:pgMar w:top="1701" w:right="1531" w:bottom="1701"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63764A5-724F-4850-BDA5-2E13E56961D7}"/>
  </w:font>
  <w:font w:name="方正小标宋_GBK">
    <w:panose1 w:val="02000000000000000000"/>
    <w:charset w:val="86"/>
    <w:family w:val="auto"/>
    <w:pitch w:val="default"/>
    <w:sig w:usb0="A00002BF" w:usb1="38CF7CFA" w:usb2="00082016" w:usb3="00000000" w:csb0="00040001" w:csb1="00000000"/>
    <w:embedRegular r:id="rId2" w:fontKey="{E754B79C-1D19-4A15-A0CC-29B38381A59E}"/>
  </w:font>
  <w:font w:name="仿宋_GB2312">
    <w:panose1 w:val="02010609030101010101"/>
    <w:charset w:val="86"/>
    <w:family w:val="auto"/>
    <w:pitch w:val="default"/>
    <w:sig w:usb0="00000001" w:usb1="080E0000" w:usb2="00000000" w:usb3="00000000" w:csb0="00040000" w:csb1="00000000"/>
    <w:embedRegular r:id="rId3" w:fontKey="{F1287593-E2BF-4527-B10C-8C12174FA4A3}"/>
  </w:font>
  <w:font w:name="华文中宋">
    <w:panose1 w:val="02010600040101010101"/>
    <w:charset w:val="86"/>
    <w:family w:val="auto"/>
    <w:pitch w:val="default"/>
    <w:sig w:usb0="00000287" w:usb1="080F0000" w:usb2="00000000" w:usb3="00000000" w:csb0="0004009F" w:csb1="DFD70000"/>
    <w:embedRegular r:id="rId4" w:fontKey="{8FFDC43B-0264-474C-AA0D-E452EE5ACB98}"/>
  </w:font>
  <w:font w:name="楷体_GB2312">
    <w:altName w:val="楷体"/>
    <w:panose1 w:val="02010609030101010101"/>
    <w:charset w:val="86"/>
    <w:family w:val="modern"/>
    <w:pitch w:val="default"/>
    <w:sig w:usb0="00000000" w:usb1="00000000" w:usb2="00000010" w:usb3="00000000" w:csb0="00040000" w:csb1="00000000"/>
    <w:embedRegular r:id="rId5" w:fontKey="{10942F01-F8D3-4C1D-8736-185F59F08696}"/>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6" w:fontKey="{03918523-FB01-4BFD-80C7-0E68DFD3F936}"/>
  </w:font>
  <w:font w:name="喵喵奶糖">
    <w:panose1 w:val="02000503000000000000"/>
    <w:charset w:val="86"/>
    <w:family w:val="auto"/>
    <w:pitch w:val="default"/>
    <w:sig w:usb0="8000002F" w:usb1="084164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lNTk3NjQ5ODZlMzFjMTJjZDJhYWJkMmM5Mjk0YzcifQ=="/>
  </w:docVars>
  <w:rsids>
    <w:rsidRoot w:val="25233551"/>
    <w:rsid w:val="20676F01"/>
    <w:rsid w:val="25233551"/>
    <w:rsid w:val="326E1DEA"/>
    <w:rsid w:val="69CA5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character" w:customStyle="1" w:styleId="5">
    <w:name w:val="NormalCharacter"/>
    <w:semiHidden/>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2022-11-10T11:09:00Z</dcterms:created>
  <dc:creator>┍緈鍢☆o_O？</dc:creator>
  <cp:lastModifiedBy>┍緈鍢☆o_O？</cp:lastModifiedBy>
  <dcterms:modified xsi:type="dcterms:W3CDTF">2022-11-11T09:23:48Z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1571FB81E73C4446BD005258FE6B641A</vt:lpwstr>
  </property>
</Properties>
</file>