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716C">
      <w:pPr>
        <w:ind w:firstLine="64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0531DE6D">
      <w:pPr>
        <w:ind w:firstLine="650"/>
      </w:pPr>
    </w:p>
    <w:p w14:paraId="6CFBD218">
      <w:pPr>
        <w:spacing w:before="240"/>
        <w:ind w:left="3537" w:firstLine="878"/>
        <w:jc w:val="center"/>
        <w:rPr>
          <w:rFonts w:ascii="仿宋" w:hAnsi="仿宋" w:eastAsia="仿宋" w:cs="仿宋"/>
          <w:spacing w:val="39"/>
          <w:sz w:val="40"/>
          <w:szCs w:val="40"/>
        </w:rPr>
      </w:pPr>
    </w:p>
    <w:p w14:paraId="0D02403B">
      <w:pPr>
        <w:spacing w:before="240"/>
        <w:jc w:val="center"/>
        <w:rPr>
          <w:rFonts w:ascii="宋体" w:hAnsi="宋体" w:eastAsia="宋体" w:cs="宋体"/>
          <w:b/>
          <w:bCs/>
          <w:sz w:val="32"/>
          <w:szCs w:val="32"/>
          <w:lang w:bidi="ar"/>
        </w:rPr>
      </w:pPr>
      <w:r>
        <w:rPr>
          <w:rFonts w:hint="eastAsia" w:ascii="宋体" w:hAnsi="宋体" w:eastAsia="宋体" w:cs="宋体"/>
          <w:b/>
          <w:bCs/>
          <w:sz w:val="32"/>
          <w:szCs w:val="32"/>
          <w:lang w:bidi="ar"/>
        </w:rPr>
        <w:t>新都区天府动力新城安置小区一期建设项目人防平战转换方案设计</w:t>
      </w:r>
    </w:p>
    <w:p w14:paraId="19FCBE80">
      <w:pPr>
        <w:spacing w:before="240"/>
        <w:jc w:val="center"/>
        <w:rPr>
          <w:rFonts w:ascii="宋体" w:hAnsi="宋体" w:eastAsia="宋体" w:cs="宋体"/>
          <w:b/>
          <w:bCs/>
          <w:sz w:val="32"/>
          <w:szCs w:val="32"/>
        </w:rPr>
      </w:pPr>
      <w:r>
        <w:rPr>
          <w:rFonts w:hint="eastAsia" w:ascii="宋体" w:hAnsi="宋体" w:eastAsia="宋体" w:cs="宋体"/>
          <w:b/>
          <w:bCs/>
          <w:spacing w:val="-21"/>
          <w:sz w:val="32"/>
          <w:szCs w:val="32"/>
        </w:rPr>
        <w:t>询价采购文件</w:t>
      </w:r>
    </w:p>
    <w:p w14:paraId="4FDB2DE6">
      <w:pPr>
        <w:jc w:val="center"/>
        <w:rPr>
          <w:sz w:val="32"/>
          <w:szCs w:val="32"/>
        </w:rPr>
      </w:pPr>
    </w:p>
    <w:p w14:paraId="17BEA4DD">
      <w:pPr>
        <w:jc w:val="center"/>
        <w:rPr>
          <w:sz w:val="32"/>
          <w:szCs w:val="32"/>
        </w:rPr>
      </w:pPr>
    </w:p>
    <w:p w14:paraId="0392F402">
      <w:pPr>
        <w:spacing w:before="240"/>
        <w:jc w:val="center"/>
        <w:rPr>
          <w:rFonts w:hint="default" w:ascii="仿宋" w:hAnsi="仿宋" w:eastAsia="仿宋" w:cs="仿宋"/>
          <w:color w:val="auto"/>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bookmarkStart w:id="1" w:name="_GoBack"/>
      <w:r>
        <w:rPr>
          <w:rFonts w:hint="eastAsia" w:ascii="仿宋" w:hAnsi="仿宋" w:eastAsia="仿宋" w:cs="仿宋"/>
          <w:color w:val="auto"/>
          <w:spacing w:val="38"/>
          <w:sz w:val="32"/>
          <w:szCs w:val="32"/>
        </w:rPr>
        <w:t>ZTGHY-XJ20260</w:t>
      </w:r>
      <w:r>
        <w:rPr>
          <w:rFonts w:hint="eastAsia" w:ascii="仿宋" w:hAnsi="仿宋" w:eastAsia="仿宋" w:cs="仿宋"/>
          <w:color w:val="auto"/>
          <w:spacing w:val="38"/>
          <w:sz w:val="32"/>
          <w:szCs w:val="32"/>
          <w:lang w:val="en-US" w:eastAsia="zh-CN"/>
        </w:rPr>
        <w:t>19</w:t>
      </w:r>
    </w:p>
    <w:bookmarkEnd w:id="1"/>
    <w:p w14:paraId="24486CEF">
      <w:pPr>
        <w:jc w:val="center"/>
        <w:rPr>
          <w:sz w:val="32"/>
          <w:szCs w:val="32"/>
        </w:rPr>
      </w:pPr>
    </w:p>
    <w:p w14:paraId="6C4AB3D6">
      <w:pPr>
        <w:rPr>
          <w:sz w:val="32"/>
          <w:szCs w:val="32"/>
        </w:rPr>
      </w:pPr>
    </w:p>
    <w:p w14:paraId="319E3C89">
      <w:pPr>
        <w:rPr>
          <w:sz w:val="32"/>
          <w:szCs w:val="32"/>
        </w:rPr>
      </w:pPr>
    </w:p>
    <w:p w14:paraId="27664A96">
      <w:pPr>
        <w:rPr>
          <w:sz w:val="32"/>
          <w:szCs w:val="32"/>
        </w:rPr>
      </w:pPr>
    </w:p>
    <w:p w14:paraId="63F8A393">
      <w:pPr>
        <w:rPr>
          <w:sz w:val="32"/>
          <w:szCs w:val="32"/>
        </w:rPr>
      </w:pPr>
    </w:p>
    <w:p w14:paraId="66C1EA3F">
      <w:pPr>
        <w:rPr>
          <w:sz w:val="32"/>
          <w:szCs w:val="32"/>
        </w:rPr>
      </w:pPr>
    </w:p>
    <w:p w14:paraId="0CB6478B">
      <w:pPr>
        <w:rPr>
          <w:sz w:val="32"/>
          <w:szCs w:val="32"/>
        </w:rPr>
      </w:pPr>
    </w:p>
    <w:p w14:paraId="04A600DA">
      <w:pPr>
        <w:rPr>
          <w:sz w:val="32"/>
          <w:szCs w:val="32"/>
        </w:rPr>
      </w:pPr>
    </w:p>
    <w:p w14:paraId="61964D67">
      <w:pPr>
        <w:rPr>
          <w:sz w:val="32"/>
          <w:szCs w:val="32"/>
        </w:rPr>
      </w:pPr>
    </w:p>
    <w:p w14:paraId="54206C92">
      <w:pPr>
        <w:rPr>
          <w:sz w:val="32"/>
          <w:szCs w:val="32"/>
        </w:rPr>
      </w:pPr>
    </w:p>
    <w:p w14:paraId="050B1396">
      <w:pPr>
        <w:rPr>
          <w:sz w:val="32"/>
          <w:szCs w:val="32"/>
        </w:rPr>
      </w:pPr>
    </w:p>
    <w:p w14:paraId="6F61575E">
      <w:pPr>
        <w:rPr>
          <w:sz w:val="32"/>
          <w:szCs w:val="32"/>
        </w:rPr>
      </w:pPr>
    </w:p>
    <w:p w14:paraId="1FBB9D87">
      <w:pPr>
        <w:rPr>
          <w:sz w:val="32"/>
          <w:szCs w:val="32"/>
        </w:rPr>
      </w:pPr>
    </w:p>
    <w:p w14:paraId="4E9786CF">
      <w:pPr>
        <w:rPr>
          <w:sz w:val="32"/>
          <w:szCs w:val="32"/>
        </w:rPr>
      </w:pPr>
    </w:p>
    <w:p w14:paraId="5C70954B">
      <w:pPr>
        <w:spacing w:before="240"/>
        <w:ind w:left="1548" w:right="622"/>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38D0C258">
      <w:pPr>
        <w:ind w:left="4130"/>
        <w:rPr>
          <w:rFonts w:ascii="Times New Roman" w:hAnsi="Times New Roman" w:eastAsia="Times New Roman" w:cs="Times New Roman"/>
          <w:color w:val="auto"/>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6</w:t>
      </w:r>
      <w:r>
        <w:rPr>
          <w:rFonts w:ascii="仿宋" w:hAnsi="仿宋" w:eastAsia="仿宋" w:cs="仿宋"/>
          <w:color w:val="auto"/>
          <w:spacing w:val="-7"/>
          <w:sz w:val="32"/>
          <w:szCs w:val="32"/>
        </w:rPr>
        <w:t>年</w:t>
      </w:r>
      <w:r>
        <w:rPr>
          <w:rFonts w:hint="eastAsia" w:ascii="Times New Roman" w:hAnsi="Times New Roman" w:eastAsia="宋体" w:cs="Times New Roman"/>
          <w:b/>
          <w:bCs/>
          <w:color w:val="auto"/>
          <w:spacing w:val="-7"/>
          <w:sz w:val="32"/>
          <w:szCs w:val="32"/>
          <w:u w:val="single"/>
        </w:rPr>
        <w:t>6</w:t>
      </w:r>
      <w:r>
        <w:rPr>
          <w:rFonts w:ascii="仿宋" w:hAnsi="仿宋" w:eastAsia="仿宋" w:cs="仿宋"/>
          <w:color w:val="auto"/>
          <w:spacing w:val="-7"/>
          <w:sz w:val="32"/>
          <w:szCs w:val="32"/>
        </w:rPr>
        <w:t>月</w:t>
      </w:r>
      <w:r>
        <w:rPr>
          <w:rFonts w:hint="eastAsia" w:ascii="Times New Roman" w:hAnsi="Times New Roman" w:eastAsia="宋体" w:cs="Times New Roman"/>
          <w:b/>
          <w:bCs/>
          <w:color w:val="auto"/>
          <w:spacing w:val="-7"/>
          <w:sz w:val="32"/>
          <w:szCs w:val="32"/>
          <w:u w:val="single"/>
        </w:rPr>
        <w:t>2</w:t>
      </w:r>
      <w:r>
        <w:rPr>
          <w:rFonts w:hint="eastAsia" w:ascii="Times New Roman" w:hAnsi="Times New Roman" w:eastAsia="宋体" w:cs="Times New Roman"/>
          <w:b/>
          <w:bCs/>
          <w:color w:val="auto"/>
          <w:spacing w:val="-7"/>
          <w:sz w:val="32"/>
          <w:szCs w:val="32"/>
          <w:u w:val="single"/>
          <w:lang w:val="en-US" w:eastAsia="zh-CN"/>
        </w:rPr>
        <w:t>9</w:t>
      </w:r>
      <w:r>
        <w:rPr>
          <w:rFonts w:ascii="仿宋" w:hAnsi="仿宋" w:eastAsia="仿宋" w:cs="仿宋"/>
          <w:color w:val="auto"/>
          <w:spacing w:val="-7"/>
          <w:sz w:val="32"/>
          <w:szCs w:val="32"/>
        </w:rPr>
        <w:t>日</w:t>
      </w:r>
    </w:p>
    <w:p w14:paraId="5FC1A9DB">
      <w:pPr>
        <w:ind w:firstLine="650"/>
        <w:rPr>
          <w:sz w:val="32"/>
          <w:szCs w:val="32"/>
        </w:rPr>
        <w:sectPr>
          <w:headerReference r:id="rId3" w:type="default"/>
          <w:headerReference r:id="rId4" w:type="even"/>
          <w:pgSz w:w="12240" w:h="15840"/>
          <w:pgMar w:top="1043" w:right="1106" w:bottom="403" w:left="1111" w:header="0" w:footer="0" w:gutter="0"/>
          <w:cols w:space="720" w:num="1"/>
        </w:sectPr>
      </w:pPr>
    </w:p>
    <w:p w14:paraId="49E2C97A">
      <w:pPr>
        <w:jc w:val="center"/>
        <w:rPr>
          <w:rFonts w:ascii="宋体" w:hAnsi="宋体" w:eastAsia="宋体" w:cs="宋体"/>
          <w:sz w:val="28"/>
          <w:szCs w:val="28"/>
          <w:lang w:bidi="ar"/>
        </w:rPr>
      </w:pPr>
      <w:r>
        <w:rPr>
          <w:rFonts w:hint="eastAsia" w:ascii="宋体" w:hAnsi="宋体" w:eastAsia="宋体" w:cs="宋体"/>
          <w:sz w:val="28"/>
          <w:szCs w:val="28"/>
          <w:lang w:bidi="ar"/>
        </w:rPr>
        <w:t>新都区天府动力新城安置小区一期建设项目人防平战转换方案设计</w:t>
      </w:r>
    </w:p>
    <w:p w14:paraId="0FBFAEE7">
      <w:pPr>
        <w:jc w:val="center"/>
        <w:rPr>
          <w:rFonts w:ascii="宋体" w:hAnsi="宋体" w:eastAsia="宋体" w:cs="宋体"/>
          <w:spacing w:val="8"/>
          <w:sz w:val="28"/>
          <w:szCs w:val="28"/>
        </w:rPr>
      </w:pPr>
      <w:r>
        <w:rPr>
          <w:rFonts w:hint="eastAsia" w:ascii="宋体" w:hAnsi="宋体" w:eastAsia="宋体" w:cs="宋体"/>
          <w:spacing w:val="8"/>
          <w:sz w:val="28"/>
          <w:szCs w:val="28"/>
        </w:rPr>
        <w:t>询价公告</w:t>
      </w:r>
    </w:p>
    <w:p w14:paraId="3ED71454">
      <w:pPr>
        <w:spacing w:before="156" w:after="156" w:line="440" w:lineRule="exact"/>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现通过询价方式采购《招标编号ZTGHY-XJ202601</w:t>
      </w:r>
      <w:r>
        <w:rPr>
          <w:rFonts w:hint="eastAsia" w:ascii="仿宋" w:hAnsi="仿宋" w:eastAsia="仿宋" w:cs="仿宋"/>
          <w:color w:val="auto"/>
          <w:spacing w:val="5"/>
          <w:sz w:val="24"/>
          <w:szCs w:val="24"/>
          <w:lang w:val="en-US" w:eastAsia="zh-CN"/>
        </w:rPr>
        <w:t>9</w:t>
      </w:r>
      <w:r>
        <w:rPr>
          <w:rFonts w:hint="eastAsia" w:ascii="仿宋" w:hAnsi="仿宋" w:eastAsia="仿宋" w:cs="仿宋"/>
          <w:color w:val="auto"/>
          <w:spacing w:val="5"/>
          <w:sz w:val="24"/>
          <w:szCs w:val="24"/>
        </w:rPr>
        <w:t>：</w:t>
      </w:r>
      <w:r>
        <w:rPr>
          <w:rFonts w:hint="eastAsia" w:ascii="仿宋" w:hAnsi="仿宋" w:eastAsia="仿宋" w:cs="仿宋"/>
          <w:sz w:val="24"/>
          <w:szCs w:val="24"/>
          <w:lang w:bidi="ar"/>
        </w:rPr>
        <w:t>新都区天府动力新城安置小区一期建设项目人防平战转换方案设计</w:t>
      </w:r>
      <w:r>
        <w:rPr>
          <w:rFonts w:hint="eastAsia" w:ascii="仿宋" w:hAnsi="仿宋" w:eastAsia="仿宋" w:cs="仿宋"/>
          <w:color w:val="auto"/>
          <w:spacing w:val="5"/>
          <w:sz w:val="24"/>
          <w:szCs w:val="24"/>
        </w:rPr>
        <w:t>》(以下简称“本项目”)工作内容包括：</w:t>
      </w:r>
      <w:r>
        <w:rPr>
          <w:rFonts w:hint="eastAsia" w:ascii="仿宋" w:hAnsi="仿宋" w:eastAsia="仿宋" w:cs="仿宋"/>
          <w:sz w:val="24"/>
          <w:szCs w:val="24"/>
          <w:lang w:bidi="ar"/>
        </w:rPr>
        <w:t>新都区天府动力新城安置小区一期建设项目人防平战转换方案设计</w:t>
      </w:r>
      <w:r>
        <w:rPr>
          <w:rFonts w:hint="eastAsia" w:ascii="仿宋" w:hAnsi="仿宋" w:eastAsia="仿宋" w:cs="仿宋"/>
          <w:color w:val="auto"/>
          <w:spacing w:val="5"/>
          <w:sz w:val="24"/>
          <w:szCs w:val="24"/>
        </w:rPr>
        <w:t>项目总建筑面积为23793.45m</w:t>
      </w:r>
      <w:r>
        <w:rPr>
          <w:rFonts w:hint="eastAsia" w:ascii="仿宋" w:hAnsi="仿宋" w:eastAsia="仿宋" w:cs="仿宋"/>
          <w:color w:val="auto"/>
          <w:spacing w:val="5"/>
          <w:sz w:val="24"/>
          <w:szCs w:val="24"/>
          <w:vertAlign w:val="superscript"/>
        </w:rPr>
        <w:t>2</w:t>
      </w:r>
      <w:r>
        <w:rPr>
          <w:rFonts w:hint="eastAsia" w:ascii="仿宋" w:hAnsi="仿宋" w:eastAsia="仿宋" w:cs="仿宋"/>
          <w:color w:val="auto"/>
          <w:spacing w:val="5"/>
          <w:sz w:val="24"/>
          <w:szCs w:val="24"/>
        </w:rPr>
        <w:t>。上述内容的</w:t>
      </w:r>
      <w:r>
        <w:rPr>
          <w:rFonts w:hint="eastAsia" w:ascii="仿宋" w:hAnsi="仿宋" w:eastAsia="仿宋" w:cs="仿宋"/>
          <w:sz w:val="24"/>
          <w:szCs w:val="24"/>
          <w:lang w:bidi="ar"/>
        </w:rPr>
        <w:t>人防平战转换方案设计</w:t>
      </w:r>
      <w:r>
        <w:rPr>
          <w:rFonts w:hint="eastAsia" w:ascii="仿宋" w:hAnsi="仿宋" w:eastAsia="仿宋" w:cs="仿宋"/>
          <w:color w:val="auto"/>
          <w:spacing w:val="5"/>
          <w:sz w:val="24"/>
          <w:szCs w:val="24"/>
        </w:rPr>
        <w:t>及后续相关服务工作需</w:t>
      </w:r>
      <w:r>
        <w:rPr>
          <w:rFonts w:ascii="仿宋" w:hAnsi="仿宋" w:eastAsia="仿宋" w:cs="仿宋"/>
          <w:color w:val="auto"/>
          <w:spacing w:val="5"/>
          <w:sz w:val="24"/>
          <w:szCs w:val="24"/>
        </w:rPr>
        <w:t>满足人防备案要求</w:t>
      </w:r>
      <w:r>
        <w:rPr>
          <w:rFonts w:hint="eastAsia" w:ascii="仿宋" w:hAnsi="仿宋" w:eastAsia="仿宋" w:cs="仿宋"/>
          <w:color w:val="auto"/>
          <w:spacing w:val="5"/>
          <w:sz w:val="24"/>
          <w:szCs w:val="24"/>
        </w:rPr>
        <w:t xml:space="preserve">。                  </w:t>
      </w:r>
      <w:r>
        <w:rPr>
          <w:rFonts w:ascii="仿宋" w:hAnsi="仿宋" w:eastAsia="仿宋" w:cs="仿宋"/>
          <w:color w:val="auto"/>
          <w:spacing w:val="5"/>
          <w:sz w:val="24"/>
          <w:szCs w:val="24"/>
        </w:rPr>
        <w:t xml:space="preserve"> </w:t>
      </w:r>
    </w:p>
    <w:p w14:paraId="60C764CC">
      <w:pPr>
        <w:spacing w:before="156" w:after="156" w:line="440" w:lineRule="exact"/>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以上工作内容所产生的各项成本费用均由中标单位承担。</w:t>
      </w:r>
    </w:p>
    <w:p w14:paraId="3DAC79F6">
      <w:pPr>
        <w:numPr>
          <w:ilvl w:val="0"/>
          <w:numId w:val="1"/>
        </w:numPr>
        <w:spacing w:before="240" w:line="440" w:lineRule="exact"/>
        <w:ind w:firstLine="472" w:firstLineChars="200"/>
        <w:outlineLvl w:val="0"/>
        <w:rPr>
          <w:rFonts w:ascii="黑体" w:hAnsi="黑体" w:eastAsia="黑体" w:cs="黑体"/>
          <w:spacing w:val="-2"/>
          <w:sz w:val="24"/>
          <w:szCs w:val="24"/>
        </w:rPr>
      </w:pPr>
      <w:r>
        <w:rPr>
          <w:rFonts w:hint="eastAsia" w:ascii="黑体" w:hAnsi="黑体" w:eastAsia="黑体" w:cs="黑体"/>
          <w:spacing w:val="-2"/>
          <w:sz w:val="24"/>
          <w:szCs w:val="24"/>
        </w:rPr>
        <w:t>采购项目内容</w:t>
      </w:r>
    </w:p>
    <w:p w14:paraId="2C45AC4E">
      <w:pPr>
        <w:spacing w:line="440" w:lineRule="exact"/>
        <w:ind w:firstLine="500" w:firstLineChars="200"/>
        <w:rPr>
          <w:rFonts w:ascii="仿宋" w:hAnsi="仿宋" w:eastAsia="仿宋" w:cs="仿宋"/>
          <w:color w:val="auto"/>
          <w:spacing w:val="5"/>
          <w:sz w:val="24"/>
          <w:szCs w:val="24"/>
        </w:rPr>
      </w:pPr>
      <w:r>
        <w:rPr>
          <w:rFonts w:hint="eastAsia" w:ascii="仿宋" w:hAnsi="仿宋" w:eastAsia="仿宋" w:cs="仿宋"/>
          <w:spacing w:val="5"/>
          <w:sz w:val="24"/>
          <w:szCs w:val="24"/>
        </w:rPr>
        <w:t>1.1采购内容：</w:t>
      </w:r>
      <w:r>
        <w:rPr>
          <w:rFonts w:hint="eastAsia" w:ascii="仿宋" w:hAnsi="仿宋" w:eastAsia="仿宋" w:cs="仿宋"/>
          <w:sz w:val="24"/>
          <w:szCs w:val="24"/>
          <w:lang w:bidi="ar"/>
        </w:rPr>
        <w:t>新都区天府动力新城安置小区一期建设项目人防平战转换方案设计</w:t>
      </w:r>
      <w:r>
        <w:rPr>
          <w:rFonts w:hint="eastAsia" w:ascii="仿宋" w:hAnsi="仿宋" w:eastAsia="仿宋" w:cs="仿宋"/>
          <w:color w:val="auto"/>
          <w:spacing w:val="5"/>
          <w:sz w:val="24"/>
          <w:szCs w:val="24"/>
        </w:rPr>
        <w:t>项目总建筑面积为23793.45m</w:t>
      </w:r>
      <w:r>
        <w:rPr>
          <w:rFonts w:hint="eastAsia" w:ascii="仿宋" w:hAnsi="仿宋" w:eastAsia="仿宋" w:cs="仿宋"/>
          <w:color w:val="auto"/>
          <w:spacing w:val="5"/>
          <w:sz w:val="24"/>
          <w:szCs w:val="24"/>
          <w:vertAlign w:val="superscript"/>
        </w:rPr>
        <w:t>2</w:t>
      </w:r>
      <w:r>
        <w:rPr>
          <w:rFonts w:hint="eastAsia" w:ascii="仿宋" w:hAnsi="仿宋" w:eastAsia="仿宋" w:cs="仿宋"/>
          <w:color w:val="auto"/>
          <w:spacing w:val="5"/>
          <w:sz w:val="24"/>
          <w:szCs w:val="24"/>
        </w:rPr>
        <w:t>。</w:t>
      </w:r>
      <w:r>
        <w:rPr>
          <w:rFonts w:ascii="宋体" w:hAnsi="宋体" w:eastAsia="宋体" w:cs="宋体"/>
          <w:sz w:val="24"/>
          <w:szCs w:val="24"/>
          <w:lang w:bidi="ar"/>
        </w:rPr>
        <w:t>平</w:t>
      </w:r>
      <w:r>
        <w:rPr>
          <w:rFonts w:hint="eastAsia" w:ascii="仿宋" w:hAnsi="仿宋" w:eastAsia="仿宋" w:cs="仿宋"/>
          <w:sz w:val="24"/>
          <w:szCs w:val="24"/>
          <w:lang w:bidi="ar"/>
        </w:rPr>
        <w:t>战转换方案设计严格依据国家人防规范、四川省地方标准DB51/T 2616及成都市人防平战转换管理要求，结合多防护单元大面积车库人防特点，开展全专业、分单元平战转换专项方案设计</w:t>
      </w:r>
      <w:r>
        <w:rPr>
          <w:rFonts w:hint="eastAsia" w:ascii="仿宋" w:hAnsi="仿宋" w:eastAsia="仿宋" w:cs="仿宋"/>
          <w:color w:val="auto"/>
          <w:spacing w:val="5"/>
          <w:sz w:val="24"/>
          <w:szCs w:val="24"/>
        </w:rPr>
        <w:t>及后续相关服务工作需</w:t>
      </w:r>
      <w:r>
        <w:rPr>
          <w:rFonts w:ascii="仿宋" w:hAnsi="仿宋" w:eastAsia="仿宋" w:cs="仿宋"/>
          <w:color w:val="auto"/>
          <w:spacing w:val="5"/>
          <w:sz w:val="24"/>
          <w:szCs w:val="24"/>
        </w:rPr>
        <w:t>满足人防备案要求</w:t>
      </w:r>
      <w:r>
        <w:rPr>
          <w:rFonts w:hint="eastAsia" w:ascii="仿宋" w:hAnsi="仿宋" w:eastAsia="仿宋" w:cs="仿宋"/>
          <w:color w:val="auto"/>
          <w:spacing w:val="5"/>
          <w:sz w:val="24"/>
          <w:szCs w:val="24"/>
        </w:rPr>
        <w:t>。</w:t>
      </w:r>
    </w:p>
    <w:p w14:paraId="45DCFC64">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1.2技术要求：</w:t>
      </w:r>
    </w:p>
    <w:p w14:paraId="28CA95BC">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（1）平战转换的原则及依据</w:t>
      </w:r>
    </w:p>
    <w:p w14:paraId="45D2EBEE">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1. 平战转换的原则：平战转换要在确保人防工程战时防护功能的前提下，最大限度地为平时使用创造条件，以利于发挥人防工程的“三个效益”。</w:t>
      </w:r>
    </w:p>
    <w:p w14:paraId="4FD17F8F">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 平战转换的依据：本次平战转换设计依据原设计图、国家人防办公室颁发的《人民防空工程战术技术要求》（国动委2003年8号）、《人民防空工程防护功能平战转换设计标准》RFJ1-98、《人民防空工程防护设备选用图集》（RFJ01-2008）和《人民防空工程设计规范》GB50038-2005、《人民防空地下室设计规范图示》05SFJ10、及四川省平战转化的具体要求</w:t>
      </w:r>
    </w:p>
    <w:p w14:paraId="67D2A70A">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（2）平战转换专项的编制内容</w:t>
      </w:r>
    </w:p>
    <w:p w14:paraId="32BF63BC">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2.1 编制技术措施计划表.实施保障计划</w:t>
      </w:r>
    </w:p>
    <w:p w14:paraId="4F6ADC68">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2.2.编制所需主要设备、构件、材料一览表</w:t>
      </w:r>
    </w:p>
    <w:p w14:paraId="4F8B3815">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2.3编制平战转换的施工方案</w:t>
      </w:r>
    </w:p>
    <w:p w14:paraId="5892E945">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2.4 编制平战转换组织机构及职责</w:t>
      </w:r>
    </w:p>
    <w:p w14:paraId="022888EB">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2.5.编制平战转换的主要费用及预算</w:t>
      </w:r>
    </w:p>
    <w:p w14:paraId="5A23C019">
      <w:pPr>
        <w:spacing w:line="44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2.6.编制平战转换的施工图纸</w:t>
      </w:r>
    </w:p>
    <w:p w14:paraId="1F674877">
      <w:pPr>
        <w:spacing w:before="60" w:beforeLines="25" w:after="60" w:afterLines="25" w:line="360" w:lineRule="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二、投标人资格</w:t>
      </w:r>
    </w:p>
    <w:p w14:paraId="44CB9D13">
      <w:pPr>
        <w:spacing w:line="360" w:lineRule="auto"/>
        <w:ind w:firstLine="240" w:firstLineChars="100"/>
        <w:rPr>
          <w:rFonts w:ascii="仿宋" w:hAnsi="仿宋" w:eastAsia="仿宋" w:cs="仿宋"/>
          <w:color w:val="auto"/>
          <w:sz w:val="24"/>
          <w:szCs w:val="24"/>
          <w:lang w:bidi="ar"/>
        </w:rPr>
      </w:pPr>
      <w:r>
        <w:rPr>
          <w:rFonts w:hint="eastAsia" w:ascii="仿宋" w:hAnsi="仿宋" w:eastAsia="仿宋" w:cs="仿宋"/>
          <w:color w:val="auto"/>
          <w:sz w:val="24"/>
          <w:szCs w:val="24"/>
          <w:lang w:bidi="ar"/>
        </w:rPr>
        <w:t>2.1.报价人资质要求：投标人须为在中华人民共和国境内依法注册、具有独立法人资格的企业，持有有效的营业执照，能够独立承担民事责任。</w:t>
      </w:r>
    </w:p>
    <w:p w14:paraId="22CE8965">
      <w:pPr>
        <w:spacing w:line="360" w:lineRule="auto"/>
        <w:ind w:firstLine="240" w:firstLineChars="100"/>
        <w:rPr>
          <w:rFonts w:ascii="仿宋" w:hAnsi="仿宋" w:eastAsia="仿宋" w:cs="仿宋"/>
          <w:color w:val="auto"/>
          <w:sz w:val="24"/>
          <w:szCs w:val="24"/>
          <w:lang w:bidi="ar"/>
        </w:rPr>
      </w:pPr>
      <w:r>
        <w:rPr>
          <w:rFonts w:hint="eastAsia" w:ascii="仿宋" w:hAnsi="仿宋" w:eastAsia="仿宋" w:cs="仿宋"/>
          <w:color w:val="auto"/>
          <w:sz w:val="24"/>
          <w:szCs w:val="24"/>
          <w:lang w:bidi="ar"/>
        </w:rPr>
        <w:t>2.1.1投标人需持有以下三个资质中任意一个资质：</w:t>
      </w:r>
      <w:r>
        <w:rPr>
          <w:rFonts w:ascii="Calibri" w:hAnsi="Calibri" w:eastAsia="仿宋" w:cs="Calibri"/>
          <w:color w:val="auto"/>
          <w:sz w:val="24"/>
          <w:szCs w:val="24"/>
          <w:lang w:bidi="ar"/>
        </w:rPr>
        <w:t>①</w:t>
      </w:r>
      <w:r>
        <w:rPr>
          <w:rFonts w:hint="eastAsia" w:ascii="仿宋" w:hAnsi="仿宋" w:eastAsia="仿宋" w:cs="仿宋"/>
          <w:color w:val="auto"/>
          <w:sz w:val="24"/>
          <w:szCs w:val="24"/>
          <w:lang w:bidi="ar"/>
        </w:rPr>
        <w:t>国家人防主管部门核发的人防工程和其他人防防护设施设计甲级资质；</w:t>
      </w:r>
      <w:r>
        <w:rPr>
          <w:rFonts w:ascii="Calibri" w:hAnsi="Calibri" w:eastAsia="仿宋" w:cs="Calibri"/>
          <w:color w:val="auto"/>
          <w:sz w:val="24"/>
          <w:szCs w:val="24"/>
          <w:lang w:bidi="ar"/>
        </w:rPr>
        <w:t>②</w:t>
      </w:r>
      <w:r>
        <w:rPr>
          <w:rFonts w:hint="eastAsia" w:ascii="仿宋" w:hAnsi="仿宋" w:eastAsia="仿宋" w:cs="仿宋"/>
          <w:color w:val="auto"/>
          <w:sz w:val="24"/>
          <w:szCs w:val="24"/>
          <w:lang w:bidi="ar"/>
        </w:rPr>
        <w:t>建设行政主管部门颁发的建筑行业（建筑工程）专业设计甲级资质；</w:t>
      </w:r>
      <w:r>
        <w:rPr>
          <w:rFonts w:ascii="Calibri" w:hAnsi="Calibri" w:eastAsia="仿宋" w:cs="Calibri"/>
          <w:color w:val="auto"/>
          <w:sz w:val="24"/>
          <w:szCs w:val="24"/>
          <w:lang w:bidi="ar"/>
        </w:rPr>
        <w:t>③</w:t>
      </w:r>
      <w:r>
        <w:rPr>
          <w:rFonts w:hint="eastAsia" w:ascii="仿宋" w:hAnsi="仿宋" w:eastAsia="仿宋" w:cs="仿宋"/>
          <w:color w:val="auto"/>
          <w:sz w:val="24"/>
          <w:szCs w:val="24"/>
          <w:lang w:bidi="ar"/>
        </w:rPr>
        <w:t>建设行政主管部门颁发的建筑行业（人防工程）专业设计乙级资质；</w:t>
      </w:r>
    </w:p>
    <w:p w14:paraId="5DFAC77A">
      <w:pPr>
        <w:spacing w:line="360" w:lineRule="auto"/>
        <w:ind w:firstLine="240" w:firstLineChars="100"/>
        <w:rPr>
          <w:rFonts w:ascii="仿宋" w:hAnsi="仿宋" w:eastAsia="仿宋" w:cs="仿宋"/>
          <w:color w:val="auto"/>
          <w:sz w:val="24"/>
          <w:szCs w:val="24"/>
          <w:lang w:bidi="ar"/>
        </w:rPr>
      </w:pPr>
      <w:r>
        <w:rPr>
          <w:rFonts w:hint="eastAsia" w:ascii="仿宋" w:hAnsi="仿宋" w:eastAsia="仿宋" w:cs="仿宋"/>
          <w:color w:val="auto"/>
          <w:sz w:val="24"/>
          <w:szCs w:val="24"/>
          <w:lang w:bidi="ar"/>
        </w:rPr>
        <w:t>2.1.2资质应均在有效期内。</w:t>
      </w:r>
    </w:p>
    <w:p w14:paraId="75CA411B">
      <w:pPr>
        <w:spacing w:before="60" w:beforeLines="25" w:after="60" w:afterLines="25" w:line="360" w:lineRule="auto"/>
        <w:ind w:firstLine="250" w:firstLineChars="100"/>
        <w:rPr>
          <w:rFonts w:ascii="仿宋" w:hAnsi="仿宋" w:eastAsia="仿宋" w:cs="仿宋"/>
          <w:color w:val="auto"/>
          <w:spacing w:val="5"/>
          <w:sz w:val="24"/>
          <w:szCs w:val="24"/>
        </w:rPr>
      </w:pPr>
      <w:r>
        <w:rPr>
          <w:rFonts w:hint="eastAsia" w:ascii="仿宋" w:hAnsi="仿宋" w:eastAsia="仿宋" w:cs="仿宋"/>
          <w:color w:val="auto"/>
          <w:spacing w:val="5"/>
          <w:sz w:val="24"/>
          <w:szCs w:val="24"/>
        </w:rPr>
        <w:t>2.2.报价人类似业绩要求：</w:t>
      </w:r>
    </w:p>
    <w:p w14:paraId="40CB7880">
      <w:pPr>
        <w:spacing w:line="360" w:lineRule="auto"/>
        <w:ind w:firstLine="240" w:firstLineChars="100"/>
        <w:rPr>
          <w:rFonts w:ascii="仿宋" w:hAnsi="仿宋" w:eastAsia="仿宋" w:cs="仿宋"/>
          <w:color w:val="auto"/>
          <w:sz w:val="24"/>
          <w:szCs w:val="24"/>
          <w:lang w:bidi="ar"/>
        </w:rPr>
      </w:pPr>
      <w:r>
        <w:rPr>
          <w:rFonts w:hint="eastAsia" w:ascii="仿宋" w:hAnsi="仿宋" w:eastAsia="仿宋" w:cs="仿宋"/>
          <w:color w:val="auto"/>
          <w:sz w:val="24"/>
          <w:szCs w:val="24"/>
          <w:lang w:bidi="ar"/>
        </w:rPr>
        <w:t>2.2.1业绩时限：近 3 年（2023 年 1 月 1 日至投标截止日，以合同签订时间为准）；</w:t>
      </w:r>
    </w:p>
    <w:p w14:paraId="43C1A574">
      <w:pPr>
        <w:spacing w:line="360" w:lineRule="auto"/>
        <w:ind w:firstLine="240" w:firstLineChars="100"/>
        <w:rPr>
          <w:rFonts w:ascii="仿宋" w:hAnsi="仿宋" w:eastAsia="仿宋" w:cs="仿宋"/>
          <w:color w:val="auto"/>
          <w:sz w:val="24"/>
          <w:szCs w:val="24"/>
          <w:lang w:bidi="ar"/>
        </w:rPr>
      </w:pPr>
      <w:r>
        <w:rPr>
          <w:rFonts w:hint="eastAsia" w:ascii="仿宋" w:hAnsi="仿宋" w:eastAsia="仿宋" w:cs="仿宋"/>
          <w:color w:val="auto"/>
          <w:sz w:val="24"/>
          <w:szCs w:val="24"/>
          <w:lang w:bidi="ar"/>
        </w:rPr>
        <w:t>2.2.3业绩标准：至少提供1 项单项人防建筑面积≥20000㎡住宅小区配套地下人防工程平战转换方案设计或人防专项完整设计业绩；</w:t>
      </w:r>
    </w:p>
    <w:p w14:paraId="2CD0BBD4">
      <w:pPr>
        <w:spacing w:line="360" w:lineRule="auto"/>
        <w:ind w:firstLine="240" w:firstLineChars="100"/>
        <w:rPr>
          <w:rFonts w:ascii="仿宋" w:hAnsi="仿宋" w:eastAsia="仿宋" w:cs="仿宋"/>
          <w:color w:val="auto"/>
          <w:sz w:val="24"/>
          <w:szCs w:val="24"/>
          <w:lang w:bidi="ar"/>
        </w:rPr>
      </w:pPr>
      <w:r>
        <w:rPr>
          <w:rFonts w:hint="eastAsia" w:ascii="仿宋" w:hAnsi="仿宋" w:eastAsia="仿宋" w:cs="仿宋"/>
          <w:color w:val="auto"/>
          <w:sz w:val="24"/>
          <w:szCs w:val="24"/>
          <w:lang w:bidi="ar"/>
        </w:rPr>
        <w:t>2.2.4业绩证明材料：合同关键页（含项目名称、人防面积、服务内容、甲乙双方盖章页）。</w:t>
      </w:r>
    </w:p>
    <w:p w14:paraId="2415AA7D">
      <w:pPr>
        <w:spacing w:before="60" w:beforeLines="25" w:after="60" w:afterLines="25" w:line="360" w:lineRule="auto"/>
        <w:ind w:firstLine="250" w:firstLineChars="100"/>
        <w:rPr>
          <w:rFonts w:ascii="仿宋" w:hAnsi="仿宋" w:eastAsia="仿宋" w:cs="仿宋"/>
          <w:color w:val="auto"/>
          <w:spacing w:val="5"/>
          <w:sz w:val="24"/>
          <w:szCs w:val="24"/>
        </w:rPr>
      </w:pPr>
      <w:r>
        <w:rPr>
          <w:rFonts w:hint="eastAsia" w:ascii="仿宋" w:hAnsi="仿宋" w:eastAsia="仿宋" w:cs="仿宋"/>
          <w:color w:val="auto"/>
          <w:spacing w:val="5"/>
          <w:sz w:val="24"/>
          <w:szCs w:val="24"/>
        </w:rPr>
        <w:t>2.3.信用要求：截至提交首次响应文件截止时间，供应商存在下列有效情形之一的，其资格审查不予通过</w:t>
      </w:r>
    </w:p>
    <w:p w14:paraId="6131E2C7">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（1）被人民法院列入失信被执行人名单的</w:t>
      </w:r>
    </w:p>
    <w:p w14:paraId="20753041">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（2）被税务机关列入重大税收违法失信主体的</w:t>
      </w:r>
    </w:p>
    <w:p w14:paraId="19A15258">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 xml:space="preserve">（3）被财政部门列入政府采购严重违法失信行为记录名单的 </w:t>
      </w:r>
    </w:p>
    <w:p w14:paraId="52F6B64B">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（4）被市场监督管理部门列入严重违法失信名单的</w:t>
      </w:r>
    </w:p>
    <w:p w14:paraId="73E9809B">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2.4.本项目不接受联合体投标。</w:t>
      </w:r>
    </w:p>
    <w:p w14:paraId="14915272">
      <w:pPr>
        <w:pStyle w:val="8"/>
        <w:numPr>
          <w:ilvl w:val="0"/>
          <w:numId w:val="2"/>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0ABD65F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3.1本次招标控制包干限价：</w:t>
      </w:r>
      <w:r>
        <w:rPr>
          <w:rFonts w:ascii="仿宋" w:hAnsi="仿宋" w:eastAsia="仿宋" w:cs="仿宋"/>
          <w:spacing w:val="5"/>
          <w:sz w:val="24"/>
          <w:szCs w:val="24"/>
        </w:rPr>
        <w:t>7</w:t>
      </w:r>
      <w:r>
        <w:rPr>
          <w:rFonts w:hint="eastAsia" w:ascii="仿宋" w:hAnsi="仿宋" w:eastAsia="仿宋" w:cs="仿宋"/>
          <w:spacing w:val="5"/>
          <w:sz w:val="24"/>
          <w:szCs w:val="24"/>
        </w:rPr>
        <w:t>万元。</w:t>
      </w:r>
    </w:p>
    <w:p w14:paraId="42BF2DE0">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3.2本次评标采用最低价中标，按照采购需求、质量和服务相等且报价最低的原则选择中标人；报价相同时，采用现场二次询价选择中标人。</w:t>
      </w:r>
    </w:p>
    <w:p w14:paraId="55FC62AB">
      <w:pPr>
        <w:spacing w:before="240"/>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717D0E0C">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spacing w:val="5"/>
          <w:sz w:val="24"/>
          <w:szCs w:val="24"/>
        </w:rPr>
        <w:t>4.1询价响应文件递交截止时</w:t>
      </w:r>
      <w:r>
        <w:rPr>
          <w:rFonts w:hint="eastAsia" w:ascii="仿宋" w:hAnsi="仿宋" w:eastAsia="仿宋" w:cs="仿宋"/>
          <w:color w:val="auto"/>
          <w:spacing w:val="5"/>
          <w:sz w:val="24"/>
          <w:szCs w:val="24"/>
        </w:rPr>
        <w:t>间：2026年</w:t>
      </w:r>
      <w:r>
        <w:rPr>
          <w:rFonts w:hint="eastAsia" w:ascii="仿宋" w:hAnsi="仿宋" w:eastAsia="仿宋" w:cs="仿宋"/>
          <w:color w:val="auto"/>
          <w:spacing w:val="5"/>
          <w:sz w:val="24"/>
          <w:szCs w:val="24"/>
          <w:lang w:val="en-US" w:eastAsia="zh-CN"/>
        </w:rPr>
        <w:t>7</w:t>
      </w:r>
      <w:r>
        <w:rPr>
          <w:rFonts w:hint="eastAsia" w:ascii="仿宋" w:hAnsi="仿宋" w:eastAsia="仿宋" w:cs="仿宋"/>
          <w:color w:val="auto"/>
          <w:spacing w:val="5"/>
          <w:sz w:val="24"/>
          <w:szCs w:val="24"/>
        </w:rPr>
        <w:t>月2日，北京时间17：00。</w:t>
      </w:r>
    </w:p>
    <w:p w14:paraId="5A67285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4.2</w:t>
      </w:r>
      <w:bookmarkStart w:id="0" w:name="_Hlk138952432"/>
      <w:r>
        <w:rPr>
          <w:rFonts w:hint="eastAsia" w:ascii="仿宋" w:hAnsi="仿宋" w:eastAsia="仿宋" w:cs="仿宋"/>
          <w:spacing w:val="5"/>
          <w:sz w:val="24"/>
          <w:szCs w:val="24"/>
        </w:rPr>
        <w:t>在截止时间内递交：</w:t>
      </w:r>
    </w:p>
    <w:p w14:paraId="14B0F78F">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①供应商资格信用承诺函；</w:t>
      </w:r>
    </w:p>
    <w:p w14:paraId="6A77D76A">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②法定代表人身份及授权委托书；</w:t>
      </w:r>
    </w:p>
    <w:p w14:paraId="36C0832A">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③询（报）价单；</w:t>
      </w:r>
    </w:p>
    <w:p w14:paraId="5547B9C3">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④营业执照复印件；</w:t>
      </w:r>
    </w:p>
    <w:p w14:paraId="32DCE722">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⑤其他能体现供应商能力的资料，如类似业绩（含高炮设计或精神堡垒或钢结构雕塑类等）。</w:t>
      </w:r>
    </w:p>
    <w:p w14:paraId="5D7F3CB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资料各1份，并按要求签字或加盖印签章及公章，寄至芜湖市鸠江区国泰路8号中铁设计广场并发送资料PDF扫描件至邮箱:</w:t>
      </w:r>
      <w:r>
        <w:fldChar w:fldCharType="begin"/>
      </w:r>
      <w:r>
        <w:instrText xml:space="preserve"> HYPERLINK "mailto:389788120@qq.com" </w:instrText>
      </w:r>
      <w:r>
        <w:fldChar w:fldCharType="separate"/>
      </w:r>
      <w:r>
        <w:rPr>
          <w:rFonts w:hint="eastAsia" w:ascii="仿宋" w:hAnsi="仿宋" w:eastAsia="仿宋" w:cs="仿宋"/>
          <w:spacing w:val="5"/>
          <w:sz w:val="24"/>
          <w:szCs w:val="24"/>
        </w:rPr>
        <w:t>389788120@qq.com</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rPr>
        <w:t>，联系人：张工，电话18155398729。</w:t>
      </w:r>
    </w:p>
    <w:p w14:paraId="70645EE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未发送或未按要求填写或不满足采购需求的其他报价单采购人不予接收。</w:t>
      </w:r>
      <w:bookmarkEnd w:id="0"/>
    </w:p>
    <w:p w14:paraId="6178824F">
      <w:pPr>
        <w:spacing w:before="240"/>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1CAA1593">
      <w:pPr>
        <w:spacing w:before="240"/>
        <w:outlineLvl w:val="0"/>
        <w:rPr>
          <w:rFonts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4A085C8A">
      <w:pPr>
        <w:spacing w:before="240"/>
        <w:outlineLvl w:val="0"/>
        <w:rPr>
          <w:rFonts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2EC6E45D">
      <w:pPr>
        <w:spacing w:before="240"/>
        <w:ind w:right="154"/>
        <w:jc w:val="both"/>
        <w:rPr>
          <w:rFonts w:ascii="仿宋" w:hAnsi="仿宋" w:eastAsia="仿宋" w:cs="仿宋"/>
          <w:spacing w:val="-5"/>
          <w:sz w:val="24"/>
          <w:szCs w:val="24"/>
        </w:rPr>
      </w:pPr>
    </w:p>
    <w:p w14:paraId="10A0475D">
      <w:pPr>
        <w:spacing w:before="240"/>
        <w:ind w:right="154" w:firstLine="65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49617CF4">
      <w:pPr>
        <w:spacing w:before="240"/>
        <w:ind w:right="154" w:firstLine="65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6</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29</w:t>
      </w:r>
      <w:r>
        <w:rPr>
          <w:rFonts w:ascii="仿宋_GB2312" w:hAnsi="华文仿宋" w:eastAsia="仿宋_GB2312" w:cs="Times New Roman"/>
          <w:color w:val="auto"/>
          <w:sz w:val="24"/>
          <w:szCs w:val="24"/>
        </w:rPr>
        <w:t>日</w:t>
      </w:r>
    </w:p>
    <w:p w14:paraId="3A93CC36">
      <w:pPr>
        <w:kinsoku/>
        <w:autoSpaceDE/>
        <w:autoSpaceDN/>
        <w:adjustRightInd/>
        <w:snapToGrid/>
        <w:ind w:firstLine="650"/>
        <w:jc w:val="center"/>
        <w:textAlignment w:val="auto"/>
        <w:rPr>
          <w:sz w:val="24"/>
          <w:szCs w:val="24"/>
        </w:rPr>
      </w:pPr>
      <w:r>
        <w:rPr>
          <w:sz w:val="24"/>
          <w:szCs w:val="24"/>
        </w:rPr>
        <w:br w:type="page"/>
      </w:r>
    </w:p>
    <w:p w14:paraId="6D402E0A">
      <w:pPr>
        <w:jc w:val="center"/>
      </w:pPr>
      <w:r>
        <w:rPr>
          <w:rFonts w:ascii="仿宋" w:hAnsi="仿宋" w:eastAsia="仿宋" w:cs="仿宋"/>
          <w:b/>
          <w:bCs/>
          <w:sz w:val="28"/>
          <w:szCs w:val="28"/>
          <w:lang w:bidi="ar"/>
        </w:rPr>
        <w:t>供应商资格信用承诺函</w:t>
      </w:r>
    </w:p>
    <w:p w14:paraId="2848A3C3">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387152D2">
      <w:pPr>
        <w:ind w:firstLine="480" w:firstLineChars="200"/>
        <w:rPr>
          <w:sz w:val="24"/>
          <w:szCs w:val="24"/>
        </w:rPr>
      </w:pPr>
      <w:r>
        <w:rPr>
          <w:rFonts w:hint="eastAsia" w:ascii="仿宋" w:hAnsi="仿宋" w:eastAsia="仿宋" w:cs="仿宋"/>
          <w:sz w:val="24"/>
          <w:szCs w:val="24"/>
          <w:lang w:bidi="ar"/>
        </w:rPr>
        <w:t xml:space="preserve">单位名称（自然人姓名）： </w:t>
      </w:r>
    </w:p>
    <w:p w14:paraId="466336EC">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3067B572">
      <w:pPr>
        <w:ind w:firstLine="480" w:firstLineChars="200"/>
        <w:rPr>
          <w:sz w:val="24"/>
          <w:szCs w:val="24"/>
        </w:rPr>
      </w:pPr>
      <w:r>
        <w:rPr>
          <w:rFonts w:hint="eastAsia" w:ascii="仿宋" w:hAnsi="仿宋" w:eastAsia="仿宋" w:cs="仿宋"/>
          <w:sz w:val="24"/>
          <w:szCs w:val="24"/>
          <w:lang w:bidi="ar"/>
        </w:rPr>
        <w:t xml:space="preserve">法定代表人（负责人）： </w:t>
      </w:r>
    </w:p>
    <w:p w14:paraId="50754102">
      <w:pPr>
        <w:ind w:firstLine="480" w:firstLineChars="200"/>
        <w:rPr>
          <w:sz w:val="24"/>
          <w:szCs w:val="24"/>
        </w:rPr>
      </w:pPr>
      <w:r>
        <w:rPr>
          <w:rFonts w:hint="eastAsia" w:ascii="仿宋" w:hAnsi="仿宋" w:eastAsia="仿宋" w:cs="仿宋"/>
          <w:sz w:val="24"/>
          <w:szCs w:val="24"/>
          <w:lang w:bidi="ar"/>
        </w:rPr>
        <w:t xml:space="preserve">联系地址和电话： </w:t>
      </w:r>
    </w:p>
    <w:p w14:paraId="52FAC6DF">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11D0905">
      <w:pPr>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062C6E0E">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510AFB7C">
      <w:pPr>
        <w:ind w:firstLine="480" w:firstLineChars="20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371A2F07">
      <w:pPr>
        <w:ind w:firstLine="480" w:firstLineChars="20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45EFDBDB">
      <w:pPr>
        <w:ind w:firstLine="480" w:firstLineChars="20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1B0E5DD6">
      <w:pPr>
        <w:ind w:firstLine="480" w:firstLineChars="20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29441602">
      <w:pPr>
        <w:ind w:firstLine="480" w:firstLineChars="20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1C263919">
      <w:pPr>
        <w:ind w:firstLine="480" w:firstLineChars="20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7DBB980B">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44C11B14">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2580E105">
      <w:pPr>
        <w:pStyle w:val="8"/>
        <w:ind w:firstLine="240"/>
        <w:rPr>
          <w:rFonts w:ascii="仿宋" w:hAnsi="仿宋" w:eastAsia="仿宋" w:cs="仿宋"/>
          <w:sz w:val="24"/>
          <w:szCs w:val="24"/>
          <w:lang w:bidi="ar"/>
        </w:rPr>
      </w:pPr>
    </w:p>
    <w:p w14:paraId="08270D0D">
      <w:pPr>
        <w:pStyle w:val="8"/>
        <w:spacing w:line="360" w:lineRule="auto"/>
        <w:ind w:firstLine="240"/>
        <w:rPr>
          <w:rFonts w:ascii="仿宋" w:hAnsi="仿宋" w:eastAsia="仿宋" w:cs="仿宋"/>
          <w:sz w:val="24"/>
          <w:szCs w:val="24"/>
          <w:lang w:bidi="ar"/>
        </w:rPr>
      </w:pPr>
    </w:p>
    <w:p w14:paraId="5D7E82F9">
      <w:pPr>
        <w:spacing w:line="360" w:lineRule="auto"/>
        <w:jc w:val="center"/>
        <w:rPr>
          <w:sz w:val="24"/>
          <w:szCs w:val="24"/>
          <w:u w:val="single"/>
        </w:rPr>
      </w:pPr>
      <w:r>
        <w:rPr>
          <w:rFonts w:hint="eastAsia" w:ascii="仿宋" w:hAnsi="仿宋" w:eastAsia="仿宋" w:cs="仿宋"/>
          <w:sz w:val="24"/>
          <w:szCs w:val="24"/>
          <w:lang w:bidi="ar"/>
        </w:rPr>
        <w:t xml:space="preserve">            供应商名称（盖单位印章）：</w:t>
      </w:r>
      <w:r>
        <w:rPr>
          <w:rFonts w:hint="eastAsia" w:ascii="仿宋" w:hAnsi="仿宋" w:eastAsia="仿宋" w:cs="仿宋"/>
          <w:sz w:val="24"/>
          <w:szCs w:val="24"/>
          <w:u w:val="single"/>
          <w:lang w:bidi="ar"/>
        </w:rPr>
        <w:t xml:space="preserve">                </w:t>
      </w:r>
    </w:p>
    <w:p w14:paraId="2C467F23">
      <w:pPr>
        <w:spacing w:line="360" w:lineRule="auto"/>
        <w:jc w:val="both"/>
        <w:rPr>
          <w:sz w:val="24"/>
          <w:szCs w:val="24"/>
          <w:u w:val="single"/>
        </w:rPr>
      </w:pPr>
      <w:r>
        <w:rPr>
          <w:rFonts w:hint="eastAsia" w:ascii="仿宋" w:hAnsi="仿宋" w:eastAsia="仿宋" w:cs="仿宋"/>
          <w:sz w:val="24"/>
          <w:szCs w:val="24"/>
          <w:lang w:bidi="ar"/>
        </w:rPr>
        <w:t>法定代表人，负责人，自然人或授权代表（签字或盖印章）：</w:t>
      </w:r>
      <w:r>
        <w:rPr>
          <w:rFonts w:hint="eastAsia" w:ascii="仿宋" w:hAnsi="仿宋" w:eastAsia="仿宋" w:cs="仿宋"/>
          <w:sz w:val="24"/>
          <w:szCs w:val="24"/>
          <w:u w:val="single"/>
          <w:lang w:bidi="ar"/>
        </w:rPr>
        <w:t xml:space="preserve">                 </w:t>
      </w:r>
    </w:p>
    <w:p w14:paraId="6FB1E25A">
      <w:pPr>
        <w:spacing w:line="360" w:lineRule="auto"/>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6E91CE0A">
      <w:pPr>
        <w:pStyle w:val="8"/>
        <w:ind w:firstLine="210"/>
      </w:pPr>
    </w:p>
    <w:p w14:paraId="0C835283">
      <w:pPr>
        <w:kinsoku/>
        <w:autoSpaceDE/>
        <w:autoSpaceDN/>
        <w:adjustRightInd/>
        <w:snapToGrid/>
        <w:jc w:val="center"/>
        <w:textAlignment w:val="auto"/>
        <w:rPr>
          <w:rFonts w:ascii="宋体"/>
          <w:b/>
          <w:sz w:val="28"/>
          <w:szCs w:val="18"/>
        </w:rPr>
      </w:pPr>
    </w:p>
    <w:p w14:paraId="579EE2C1">
      <w:pPr>
        <w:kinsoku/>
        <w:autoSpaceDE/>
        <w:autoSpaceDN/>
        <w:adjustRightInd/>
        <w:snapToGrid/>
        <w:jc w:val="center"/>
        <w:textAlignment w:val="auto"/>
        <w:rPr>
          <w:rFonts w:ascii="宋体"/>
          <w:b/>
          <w:sz w:val="28"/>
          <w:szCs w:val="18"/>
        </w:rPr>
      </w:pPr>
    </w:p>
    <w:p w14:paraId="03AE89AE">
      <w:pPr>
        <w:kinsoku/>
        <w:autoSpaceDE/>
        <w:autoSpaceDN/>
        <w:adjustRightInd/>
        <w:snapToGrid/>
        <w:jc w:val="center"/>
        <w:textAlignment w:val="auto"/>
        <w:rPr>
          <w:rFonts w:ascii="宋体"/>
          <w:b/>
          <w:sz w:val="28"/>
          <w:szCs w:val="18"/>
        </w:rPr>
      </w:pPr>
    </w:p>
    <w:p w14:paraId="6AC7711A">
      <w:pPr>
        <w:kinsoku/>
        <w:autoSpaceDE/>
        <w:autoSpaceDN/>
        <w:adjustRightInd/>
        <w:snapToGrid/>
        <w:jc w:val="center"/>
        <w:textAlignment w:val="auto"/>
        <w:rPr>
          <w:rFonts w:ascii="宋体"/>
          <w:b/>
          <w:sz w:val="28"/>
          <w:szCs w:val="18"/>
        </w:rPr>
      </w:pPr>
    </w:p>
    <w:p w14:paraId="723DD4B8">
      <w:pPr>
        <w:kinsoku/>
        <w:autoSpaceDE/>
        <w:autoSpaceDN/>
        <w:adjustRightInd/>
        <w:snapToGrid/>
        <w:jc w:val="center"/>
        <w:textAlignment w:val="auto"/>
        <w:rPr>
          <w:rFonts w:ascii="宋体"/>
          <w:b/>
          <w:sz w:val="28"/>
          <w:szCs w:val="18"/>
        </w:rPr>
      </w:pPr>
    </w:p>
    <w:p w14:paraId="02653C8C">
      <w:pPr>
        <w:kinsoku/>
        <w:autoSpaceDE/>
        <w:autoSpaceDN/>
        <w:adjustRightInd/>
        <w:snapToGrid/>
        <w:jc w:val="center"/>
        <w:textAlignment w:val="auto"/>
        <w:rPr>
          <w:rFonts w:ascii="宋体"/>
          <w:b/>
          <w:sz w:val="28"/>
          <w:szCs w:val="18"/>
        </w:rPr>
      </w:pPr>
    </w:p>
    <w:p w14:paraId="3539AD9B">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238EB6CD">
      <w:pPr>
        <w:pStyle w:val="8"/>
        <w:ind w:firstLine="210"/>
      </w:pPr>
    </w:p>
    <w:p w14:paraId="1D5C8CE6">
      <w:pPr>
        <w:pStyle w:val="16"/>
        <w:spacing w:line="240" w:lineRule="auto"/>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213A0CB4">
      <w:pPr>
        <w:pStyle w:val="16"/>
        <w:spacing w:line="240" w:lineRule="auto"/>
      </w:pPr>
      <w:r>
        <w:rPr>
          <w:rFonts w:hint="eastAsia"/>
        </w:rPr>
        <w:t>授权有效期自年月日起至开标日期后9</w:t>
      </w:r>
      <w:r>
        <w:t>0</w:t>
      </w:r>
      <w:r>
        <w:rPr>
          <w:rFonts w:hint="eastAsia"/>
        </w:rPr>
        <w:t>个日历天止。</w:t>
      </w:r>
    </w:p>
    <w:p w14:paraId="63C4A53B">
      <w:pPr>
        <w:pStyle w:val="16"/>
        <w:spacing w:line="240" w:lineRule="auto"/>
        <w:rPr>
          <w:b/>
          <w:bCs/>
          <w:sz w:val="24"/>
        </w:rPr>
      </w:pPr>
      <w:r>
        <w:rPr>
          <w:rFonts w:hint="eastAsia"/>
          <w:b/>
          <w:bCs/>
        </w:rPr>
        <w:t>附：法定代表人、被授权人身份证复印件</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C26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9" w:hRule="atLeast"/>
          <w:jc w:val="center"/>
        </w:trPr>
        <w:tc>
          <w:tcPr>
            <w:tcW w:w="8720" w:type="dxa"/>
            <w:vAlign w:val="center"/>
          </w:tcPr>
          <w:p w14:paraId="781A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0"/>
              <w:jc w:val="center"/>
              <w:rPr>
                <w:rFonts w:ascii="宋体" w:hAnsi="宋体"/>
                <w:sz w:val="24"/>
              </w:rPr>
            </w:pPr>
            <w:r>
              <w:rPr>
                <w:rFonts w:hint="eastAsia" w:ascii="宋体" w:hAnsi="宋体"/>
                <w:sz w:val="24"/>
              </w:rPr>
              <w:t>（法定代表人身份证正反面复印件）</w:t>
            </w:r>
          </w:p>
        </w:tc>
      </w:tr>
      <w:tr w14:paraId="23F6B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3D09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0"/>
              <w:jc w:val="center"/>
              <w:rPr>
                <w:rFonts w:ascii="宋体" w:hAnsi="宋体"/>
                <w:sz w:val="24"/>
              </w:rPr>
            </w:pPr>
            <w:r>
              <w:rPr>
                <w:rFonts w:hint="eastAsia" w:ascii="宋体" w:hAnsi="宋体"/>
                <w:sz w:val="24"/>
              </w:rPr>
              <w:t>（被授权人身份证正反面复印件）</w:t>
            </w:r>
          </w:p>
        </w:tc>
      </w:tr>
    </w:tbl>
    <w:p w14:paraId="6428DBA3">
      <w:pPr>
        <w:tabs>
          <w:tab w:val="left" w:pos="3402"/>
        </w:tabs>
        <w:topLinePunct/>
        <w:ind w:firstLine="3080" w:firstLineChars="1100"/>
        <w:rPr>
          <w:sz w:val="28"/>
          <w:szCs w:val="28"/>
        </w:rPr>
      </w:pPr>
    </w:p>
    <w:p w14:paraId="48F47A4A">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 xml:space="preserve">          </w:t>
      </w:r>
      <w:r>
        <w:rPr>
          <w:rFonts w:hint="eastAsia"/>
          <w:sz w:val="28"/>
          <w:szCs w:val="28"/>
        </w:rPr>
        <w:t>（单位公</w:t>
      </w:r>
      <w:r>
        <w:rPr>
          <w:sz w:val="28"/>
          <w:szCs w:val="28"/>
        </w:rPr>
        <w:t>章）</w:t>
      </w:r>
    </w:p>
    <w:p w14:paraId="7962EB3D">
      <w:pPr>
        <w:tabs>
          <w:tab w:val="left" w:pos="3402"/>
        </w:tabs>
        <w:topLinePunct/>
        <w:spacing w:line="360" w:lineRule="auto"/>
        <w:ind w:left="1680" w:leftChars="800" w:firstLine="570"/>
        <w:rPr>
          <w:sz w:val="28"/>
          <w:szCs w:val="28"/>
        </w:rPr>
      </w:pPr>
      <w:r>
        <w:rPr>
          <w:sz w:val="28"/>
          <w:szCs w:val="28"/>
        </w:rPr>
        <w:t>法定代表人：（签字</w:t>
      </w:r>
      <w:r>
        <w:rPr>
          <w:rFonts w:hint="eastAsia"/>
          <w:sz w:val="28"/>
          <w:szCs w:val="28"/>
        </w:rPr>
        <w:t>或盖章</w:t>
      </w:r>
      <w:r>
        <w:rPr>
          <w:sz w:val="28"/>
          <w:szCs w:val="28"/>
        </w:rPr>
        <w:t>）</w:t>
      </w:r>
    </w:p>
    <w:p w14:paraId="2012BF31">
      <w:pPr>
        <w:tabs>
          <w:tab w:val="left" w:pos="3402"/>
        </w:tabs>
        <w:topLinePunct/>
        <w:spacing w:line="360" w:lineRule="auto"/>
        <w:ind w:left="1680" w:leftChars="800" w:firstLine="570"/>
        <w:rPr>
          <w:sz w:val="28"/>
          <w:szCs w:val="28"/>
        </w:rPr>
      </w:pPr>
      <w:r>
        <w:rPr>
          <w:rFonts w:hint="eastAsia"/>
          <w:spacing w:val="20"/>
          <w:sz w:val="28"/>
          <w:szCs w:val="28"/>
        </w:rPr>
        <w:t>被授权人</w:t>
      </w:r>
      <w:r>
        <w:rPr>
          <w:sz w:val="28"/>
          <w:szCs w:val="28"/>
        </w:rPr>
        <w:t>：（签字）</w:t>
      </w:r>
    </w:p>
    <w:p w14:paraId="29609357">
      <w:pPr>
        <w:spacing w:line="360" w:lineRule="auto"/>
        <w:ind w:firstLine="57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 xml:space="preserve">月 </w:t>
      </w:r>
      <w:r>
        <w:rPr>
          <w:rFonts w:hint="eastAsia" w:ascii="宋体"/>
          <w:bCs/>
          <w:sz w:val="28"/>
          <w:szCs w:val="28"/>
        </w:rPr>
        <w:t xml:space="preserve"> </w:t>
      </w:r>
      <w:r>
        <w:rPr>
          <w:rFonts w:ascii="宋体"/>
          <w:bCs/>
          <w:sz w:val="28"/>
          <w:szCs w:val="28"/>
        </w:rPr>
        <w:t>日</w:t>
      </w:r>
    </w:p>
    <w:p w14:paraId="04430986">
      <w:pPr>
        <w:ind w:right="210"/>
        <w:jc w:val="center"/>
        <w:rPr>
          <w:rFonts w:asciiTheme="majorHAnsi" w:hAnsiTheme="majorHAnsi"/>
          <w:b/>
          <w:sz w:val="28"/>
          <w:szCs w:val="18"/>
        </w:rPr>
      </w:pPr>
    </w:p>
    <w:p w14:paraId="75E0689C">
      <w:pPr>
        <w:ind w:right="21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65641CC8">
      <w:pPr>
        <w:ind w:right="210"/>
        <w:jc w:val="center"/>
        <w:rPr>
          <w:rFonts w:asciiTheme="majorHAnsi" w:hAnsiTheme="majorHAnsi"/>
          <w:b/>
        </w:rPr>
      </w:pPr>
      <w:r>
        <w:rPr>
          <w:rFonts w:asciiTheme="majorHAnsi" w:hAnsiTheme="majorHAnsi"/>
          <w:b/>
          <w:sz w:val="28"/>
          <w:szCs w:val="18"/>
        </w:rPr>
        <w:t>询（报）价单</w:t>
      </w:r>
    </w:p>
    <w:tbl>
      <w:tblPr>
        <w:tblStyle w:val="9"/>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B0B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55" w:type="dxa"/>
            <w:vAlign w:val="center"/>
          </w:tcPr>
          <w:p w14:paraId="11F3497B">
            <w:pPr>
              <w:jc w:val="center"/>
              <w:rPr>
                <w:rFonts w:ascii="宋体"/>
                <w:bCs/>
                <w:sz w:val="24"/>
                <w:szCs w:val="24"/>
              </w:rPr>
            </w:pPr>
            <w:r>
              <w:rPr>
                <w:rFonts w:hint="eastAsia" w:ascii="宋体"/>
                <w:bCs/>
                <w:sz w:val="24"/>
                <w:szCs w:val="24"/>
              </w:rPr>
              <w:t>项目名称</w:t>
            </w:r>
          </w:p>
        </w:tc>
        <w:tc>
          <w:tcPr>
            <w:tcW w:w="7686" w:type="dxa"/>
            <w:vAlign w:val="center"/>
          </w:tcPr>
          <w:p w14:paraId="72E5B37E">
            <w:pPr>
              <w:ind w:firstLine="480" w:firstLineChars="200"/>
              <w:jc w:val="center"/>
              <w:outlineLvl w:val="0"/>
              <w:rPr>
                <w:rFonts w:ascii="宋体" w:eastAsia="微软雅黑"/>
                <w:bCs/>
                <w:sz w:val="24"/>
                <w:szCs w:val="24"/>
                <w:highlight w:val="yellow"/>
              </w:rPr>
            </w:pPr>
            <w:r>
              <w:rPr>
                <w:rFonts w:hint="eastAsia" w:ascii="仿宋" w:hAnsi="仿宋" w:eastAsia="仿宋" w:cs="仿宋"/>
                <w:sz w:val="24"/>
                <w:szCs w:val="24"/>
                <w:lang w:bidi="ar"/>
              </w:rPr>
              <w:t>新都区天府动力新城安置小区一期建设项目人防平战转换方案设计</w:t>
            </w:r>
          </w:p>
        </w:tc>
      </w:tr>
      <w:tr w14:paraId="45AE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0C3DABE5">
            <w:pPr>
              <w:jc w:val="center"/>
              <w:rPr>
                <w:rFonts w:ascii="宋体"/>
                <w:bCs/>
                <w:sz w:val="24"/>
                <w:szCs w:val="24"/>
              </w:rPr>
            </w:pPr>
            <w:r>
              <w:rPr>
                <w:rFonts w:hint="eastAsia" w:ascii="宋体"/>
                <w:bCs/>
                <w:sz w:val="24"/>
                <w:szCs w:val="24"/>
              </w:rPr>
              <w:t>服务内容</w:t>
            </w:r>
          </w:p>
        </w:tc>
        <w:tc>
          <w:tcPr>
            <w:tcW w:w="7686" w:type="dxa"/>
            <w:vAlign w:val="center"/>
          </w:tcPr>
          <w:p w14:paraId="240BACDD">
            <w:pPr>
              <w:spacing w:line="440" w:lineRule="exact"/>
              <w:ind w:firstLine="480" w:firstLineChars="200"/>
              <w:rPr>
                <w:rFonts w:ascii="宋体" w:eastAsia="仿宋"/>
                <w:bCs/>
                <w:color w:val="auto"/>
                <w:sz w:val="24"/>
                <w:szCs w:val="24"/>
                <w:highlight w:val="yellow"/>
              </w:rPr>
            </w:pPr>
            <w:r>
              <w:rPr>
                <w:rFonts w:hint="eastAsia" w:ascii="仿宋" w:hAnsi="仿宋" w:eastAsia="仿宋" w:cs="仿宋"/>
                <w:sz w:val="24"/>
                <w:szCs w:val="24"/>
                <w:lang w:bidi="ar"/>
              </w:rPr>
              <w:t>新都区天府动力新城安置小区一期建设项目人防平战转换方案设计</w:t>
            </w:r>
            <w:r>
              <w:rPr>
                <w:rFonts w:hint="eastAsia" w:ascii="仿宋" w:hAnsi="仿宋" w:eastAsia="仿宋" w:cs="仿宋"/>
                <w:color w:val="auto"/>
                <w:spacing w:val="5"/>
                <w:sz w:val="24"/>
                <w:szCs w:val="24"/>
              </w:rPr>
              <w:t>项目总建筑面积为23793.45m</w:t>
            </w:r>
            <w:r>
              <w:rPr>
                <w:rFonts w:hint="eastAsia" w:ascii="仿宋" w:hAnsi="仿宋" w:eastAsia="仿宋" w:cs="仿宋"/>
                <w:color w:val="auto"/>
                <w:spacing w:val="5"/>
                <w:sz w:val="24"/>
                <w:szCs w:val="24"/>
                <w:vertAlign w:val="superscript"/>
              </w:rPr>
              <w:t>2</w:t>
            </w:r>
            <w:r>
              <w:rPr>
                <w:rFonts w:hint="eastAsia" w:ascii="仿宋" w:hAnsi="仿宋" w:eastAsia="仿宋" w:cs="仿宋"/>
                <w:color w:val="auto"/>
                <w:spacing w:val="5"/>
                <w:sz w:val="24"/>
                <w:szCs w:val="24"/>
              </w:rPr>
              <w:t>。上述内容的</w:t>
            </w:r>
            <w:r>
              <w:rPr>
                <w:rFonts w:hint="eastAsia" w:ascii="仿宋" w:hAnsi="仿宋" w:eastAsia="仿宋" w:cs="仿宋"/>
                <w:sz w:val="24"/>
                <w:szCs w:val="24"/>
                <w:lang w:bidi="ar"/>
              </w:rPr>
              <w:t>人防平战转换方案设计</w:t>
            </w:r>
            <w:r>
              <w:rPr>
                <w:rFonts w:hint="eastAsia" w:ascii="仿宋" w:hAnsi="仿宋" w:eastAsia="仿宋" w:cs="仿宋"/>
                <w:color w:val="auto"/>
                <w:spacing w:val="5"/>
                <w:sz w:val="24"/>
                <w:szCs w:val="24"/>
              </w:rPr>
              <w:t>及后续相关服务工作需</w:t>
            </w:r>
            <w:r>
              <w:rPr>
                <w:rFonts w:ascii="仿宋" w:hAnsi="仿宋" w:eastAsia="仿宋" w:cs="仿宋"/>
                <w:color w:val="auto"/>
                <w:spacing w:val="5"/>
                <w:sz w:val="24"/>
                <w:szCs w:val="24"/>
              </w:rPr>
              <w:t>满足人防备案要求</w:t>
            </w:r>
            <w:r>
              <w:rPr>
                <w:rFonts w:hint="eastAsia" w:ascii="仿宋" w:hAnsi="仿宋" w:eastAsia="仿宋" w:cs="仿宋"/>
                <w:color w:val="auto"/>
                <w:spacing w:val="5"/>
                <w:sz w:val="24"/>
                <w:szCs w:val="24"/>
              </w:rPr>
              <w:t>。</w:t>
            </w:r>
          </w:p>
        </w:tc>
      </w:tr>
      <w:tr w14:paraId="61ED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56216E06">
            <w:pPr>
              <w:jc w:val="center"/>
              <w:rPr>
                <w:rFonts w:ascii="宋体"/>
                <w:bCs/>
                <w:sz w:val="24"/>
                <w:szCs w:val="24"/>
              </w:rPr>
            </w:pPr>
            <w:r>
              <w:rPr>
                <w:rFonts w:hint="eastAsia" w:ascii="宋体"/>
                <w:bCs/>
                <w:sz w:val="24"/>
                <w:szCs w:val="24"/>
              </w:rPr>
              <w:t>技术要求</w:t>
            </w:r>
          </w:p>
        </w:tc>
        <w:tc>
          <w:tcPr>
            <w:tcW w:w="7686" w:type="dxa"/>
            <w:vAlign w:val="center"/>
          </w:tcPr>
          <w:p w14:paraId="3A197C40">
            <w:pPr>
              <w:spacing w:line="40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（1）平战转换的原则及依据</w:t>
            </w:r>
          </w:p>
          <w:p w14:paraId="386EF7C7">
            <w:pPr>
              <w:spacing w:line="40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1. 平战转换的原则：平战转换要在确保人防工程战时防护功能的前提下，最大限度地为平时使用创造条件，以利于发挥人防工程的“三个效益”。</w:t>
            </w:r>
          </w:p>
          <w:p w14:paraId="592310BA">
            <w:pPr>
              <w:spacing w:line="40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 平战转换的依据：本次平战转换设计依据原设计图、国家人防办公室颁发的《人民防空工程战术技术要求》（国动委2003年8号）、《人民防空工程防护功能平战转换设计标准》RFJ1-98、《人民防空工程防护设备选用图集》（RFJ01-2008）和《人民防空工程设计规范》GB50038-2005、《人民防空地下室设计规范图示》05SFJ10、及四川省平战转化的具体要求</w:t>
            </w:r>
          </w:p>
          <w:p w14:paraId="47087613">
            <w:pPr>
              <w:spacing w:line="40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（2）平战转换专项的编制内容</w:t>
            </w:r>
          </w:p>
          <w:p w14:paraId="5C415B39">
            <w:pPr>
              <w:spacing w:line="40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2.1 编制技术措施计划表.实施保障计划</w:t>
            </w:r>
          </w:p>
          <w:p w14:paraId="14B18DA6">
            <w:pPr>
              <w:spacing w:line="40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2.2.编制所需主要设备、构件、材料一览表</w:t>
            </w:r>
          </w:p>
          <w:p w14:paraId="377C8A2B">
            <w:pPr>
              <w:spacing w:line="40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2.3编制平战转换的施工方案</w:t>
            </w:r>
          </w:p>
          <w:p w14:paraId="70E5C407">
            <w:pPr>
              <w:spacing w:line="40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2.4 编制平战转换组织机构及职责</w:t>
            </w:r>
          </w:p>
          <w:p w14:paraId="75C9BAA8">
            <w:pPr>
              <w:spacing w:line="40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2.5.编制平战转换的主要费用及预算</w:t>
            </w:r>
          </w:p>
          <w:p w14:paraId="10932066">
            <w:pPr>
              <w:spacing w:line="400" w:lineRule="exact"/>
              <w:ind w:firstLine="480" w:firstLineChars="200"/>
              <w:rPr>
                <w:rFonts w:ascii="仿宋" w:hAnsi="仿宋" w:eastAsia="仿宋" w:cs="仿宋"/>
                <w:sz w:val="24"/>
                <w:szCs w:val="24"/>
                <w:lang w:bidi="ar"/>
              </w:rPr>
            </w:pPr>
            <w:r>
              <w:rPr>
                <w:rFonts w:hint="eastAsia" w:ascii="仿宋" w:hAnsi="仿宋" w:eastAsia="仿宋" w:cs="仿宋"/>
                <w:sz w:val="24"/>
                <w:szCs w:val="24"/>
                <w:lang w:bidi="ar"/>
              </w:rPr>
              <w:t>2.6.编制平战转换的施工图纸</w:t>
            </w:r>
          </w:p>
          <w:p w14:paraId="6F2D789C">
            <w:pPr>
              <w:rPr>
                <w:rFonts w:ascii="仿宋" w:hAnsi="仿宋" w:eastAsia="仿宋" w:cs="仿宋"/>
                <w:spacing w:val="5"/>
                <w:sz w:val="24"/>
                <w:szCs w:val="24"/>
                <w:highlight w:val="yellow"/>
              </w:rPr>
            </w:pPr>
          </w:p>
        </w:tc>
      </w:tr>
      <w:tr w14:paraId="2937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755" w:type="dxa"/>
            <w:vAlign w:val="center"/>
          </w:tcPr>
          <w:p w14:paraId="14CD6CF6">
            <w:pPr>
              <w:jc w:val="center"/>
              <w:rPr>
                <w:rFonts w:ascii="宋体"/>
                <w:bCs/>
                <w:sz w:val="24"/>
                <w:szCs w:val="24"/>
              </w:rPr>
            </w:pPr>
            <w:r>
              <w:rPr>
                <w:rFonts w:hint="eastAsia" w:ascii="宋体"/>
                <w:bCs/>
                <w:sz w:val="24"/>
                <w:szCs w:val="24"/>
              </w:rPr>
              <w:t>工期要求：</w:t>
            </w:r>
          </w:p>
        </w:tc>
        <w:tc>
          <w:tcPr>
            <w:tcW w:w="7686" w:type="dxa"/>
            <w:vAlign w:val="center"/>
          </w:tcPr>
          <w:p w14:paraId="5E8F642A">
            <w:pPr>
              <w:rPr>
                <w:rFonts w:ascii="仿宋" w:hAnsi="仿宋" w:eastAsia="仿宋" w:cs="仿宋"/>
                <w:spacing w:val="5"/>
                <w:sz w:val="24"/>
                <w:szCs w:val="24"/>
                <w:highlight w:val="yellow"/>
              </w:rPr>
            </w:pPr>
            <w:r>
              <w:rPr>
                <w:rFonts w:hint="eastAsia" w:ascii="仿宋" w:hAnsi="仿宋" w:eastAsia="仿宋" w:cs="仿宋"/>
                <w:spacing w:val="5"/>
                <w:sz w:val="24"/>
                <w:szCs w:val="24"/>
                <w:highlight w:val="yellow"/>
              </w:rPr>
              <w:t>合同签订后10个工作日。</w:t>
            </w:r>
          </w:p>
        </w:tc>
      </w:tr>
      <w:tr w14:paraId="4553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Align w:val="center"/>
          </w:tcPr>
          <w:p w14:paraId="03969D90">
            <w:pPr>
              <w:jc w:val="center"/>
              <w:rPr>
                <w:rFonts w:ascii="宋体"/>
                <w:bCs/>
                <w:sz w:val="24"/>
                <w:szCs w:val="24"/>
              </w:rPr>
            </w:pPr>
            <w:r>
              <w:rPr>
                <w:rFonts w:hint="eastAsia" w:ascii="宋体"/>
                <w:bCs/>
                <w:sz w:val="24"/>
                <w:szCs w:val="24"/>
              </w:rPr>
              <w:t>最高投标限价</w:t>
            </w:r>
          </w:p>
        </w:tc>
        <w:tc>
          <w:tcPr>
            <w:tcW w:w="7686" w:type="dxa"/>
            <w:vAlign w:val="center"/>
          </w:tcPr>
          <w:p w14:paraId="361F7494">
            <w:pPr>
              <w:rPr>
                <w:rFonts w:ascii="仿宋" w:hAnsi="仿宋" w:eastAsia="仿宋" w:cs="仿宋"/>
                <w:spacing w:val="5"/>
                <w:sz w:val="24"/>
                <w:szCs w:val="24"/>
                <w:highlight w:val="yellow"/>
              </w:rPr>
            </w:pPr>
            <w:r>
              <w:rPr>
                <w:rFonts w:hint="eastAsia" w:ascii="仿宋" w:hAnsi="仿宋" w:eastAsia="仿宋" w:cs="仿宋"/>
                <w:spacing w:val="5"/>
                <w:sz w:val="24"/>
                <w:szCs w:val="24"/>
                <w:highlight w:val="yellow"/>
              </w:rPr>
              <w:t>总包干价45000.0元</w:t>
            </w:r>
          </w:p>
        </w:tc>
      </w:tr>
      <w:tr w14:paraId="1923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3E3A9D55">
            <w:pPr>
              <w:jc w:val="center"/>
              <w:rPr>
                <w:rFonts w:ascii="宋体"/>
                <w:bCs/>
                <w:sz w:val="24"/>
                <w:szCs w:val="24"/>
              </w:rPr>
            </w:pPr>
            <w:r>
              <w:rPr>
                <w:rFonts w:hint="eastAsia" w:ascii="宋体"/>
                <w:bCs/>
                <w:sz w:val="24"/>
                <w:szCs w:val="24"/>
              </w:rPr>
              <w:t>投标报价</w:t>
            </w:r>
          </w:p>
        </w:tc>
        <w:tc>
          <w:tcPr>
            <w:tcW w:w="7686" w:type="dxa"/>
            <w:vAlign w:val="center"/>
          </w:tcPr>
          <w:p w14:paraId="71F79D28">
            <w:pPr>
              <w:ind w:firstLine="570"/>
              <w:rPr>
                <w:rFonts w:ascii="宋体"/>
                <w:bCs/>
                <w:sz w:val="24"/>
                <w:szCs w:val="24"/>
              </w:rPr>
            </w:pPr>
            <w:r>
              <w:rPr>
                <w:rFonts w:hint="eastAsia" w:ascii="宋体"/>
                <w:bCs/>
                <w:sz w:val="24"/>
                <w:szCs w:val="24"/>
              </w:rPr>
              <w:t>人民币小写：          元（总包干价），报价清单可另附页。</w:t>
            </w:r>
          </w:p>
        </w:tc>
      </w:tr>
      <w:tr w14:paraId="226A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72F6647C">
            <w:pPr>
              <w:ind w:firstLine="570"/>
              <w:jc w:val="center"/>
              <w:rPr>
                <w:rFonts w:ascii="宋体"/>
                <w:bCs/>
                <w:sz w:val="24"/>
                <w:szCs w:val="24"/>
              </w:rPr>
            </w:pPr>
          </w:p>
        </w:tc>
        <w:tc>
          <w:tcPr>
            <w:tcW w:w="7686" w:type="dxa"/>
            <w:vAlign w:val="center"/>
          </w:tcPr>
          <w:p w14:paraId="322B024F">
            <w:pPr>
              <w:ind w:firstLine="570"/>
              <w:rPr>
                <w:rFonts w:ascii="宋体"/>
                <w:bCs/>
                <w:sz w:val="24"/>
                <w:szCs w:val="24"/>
              </w:rPr>
            </w:pPr>
            <w:r>
              <w:rPr>
                <w:rFonts w:hint="eastAsia" w:ascii="宋体"/>
                <w:bCs/>
                <w:sz w:val="24"/>
                <w:szCs w:val="24"/>
              </w:rPr>
              <w:t>人民币大写：          元</w:t>
            </w:r>
          </w:p>
        </w:tc>
      </w:tr>
      <w:tr w14:paraId="0605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43C9EE2D">
            <w:pPr>
              <w:jc w:val="center"/>
              <w:rPr>
                <w:rFonts w:ascii="宋体"/>
                <w:bCs/>
                <w:sz w:val="24"/>
                <w:szCs w:val="24"/>
              </w:rPr>
            </w:pPr>
            <w:r>
              <w:rPr>
                <w:rFonts w:hint="eastAsia" w:ascii="宋体"/>
                <w:bCs/>
                <w:sz w:val="24"/>
                <w:szCs w:val="24"/>
              </w:rPr>
              <w:t>其他</w:t>
            </w:r>
          </w:p>
        </w:tc>
        <w:tc>
          <w:tcPr>
            <w:tcW w:w="7686" w:type="dxa"/>
            <w:vAlign w:val="center"/>
          </w:tcPr>
          <w:p w14:paraId="0E068BDB">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2EBB50F5">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2F197118">
            <w:pPr>
              <w:pStyle w:val="8"/>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51547C14">
            <w:pPr>
              <w:pStyle w:val="8"/>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rPr>
              <w:t>3</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rPr>
              <w:t>9</w:t>
            </w:r>
            <w:r>
              <w:rPr>
                <w:rFonts w:ascii="仿宋_GB2312" w:hAnsi="华文仿宋" w:eastAsia="仿宋_GB2312" w:cs="Times New Roman"/>
                <w:color w:val="auto"/>
                <w:sz w:val="24"/>
                <w:szCs w:val="24"/>
              </w:rPr>
              <w:t>日</w:t>
            </w:r>
            <w:r>
              <w:rPr>
                <w:rFonts w:hint="eastAsia" w:ascii="仿宋_GB2312" w:hAnsi="华文仿宋" w:eastAsia="仿宋_GB2312" w:cs="Times New Roman"/>
                <w:color w:val="auto"/>
                <w:sz w:val="24"/>
                <w:szCs w:val="24"/>
              </w:rPr>
              <w:t>，</w:t>
            </w:r>
            <w:r>
              <w:rPr>
                <w:rFonts w:ascii="仿宋_GB2312" w:hAnsi="华文仿宋" w:eastAsia="仿宋_GB2312" w:cs="Times New Roman"/>
                <w:color w:val="auto"/>
                <w:sz w:val="24"/>
                <w:szCs w:val="24"/>
              </w:rPr>
              <w:t>北京时间</w:t>
            </w:r>
            <w:r>
              <w:rPr>
                <w:rFonts w:hint="eastAsia" w:ascii="仿宋_GB2312" w:hAnsi="华文仿宋" w:eastAsia="仿宋_GB2312" w:cs="Times New Roman"/>
                <w:color w:val="auto"/>
                <w:sz w:val="24"/>
                <w:szCs w:val="24"/>
              </w:rPr>
              <w:t>17：00前</w:t>
            </w:r>
            <w:r>
              <w:rPr>
                <w:rFonts w:hint="eastAsia" w:ascii="仿宋_GB2312" w:hAnsi="华文仿宋" w:eastAsia="仿宋_GB2312" w:cs="Times New Roman"/>
                <w:sz w:val="24"/>
                <w:szCs w:val="24"/>
              </w:rPr>
              <w:t>将此询价单、</w:t>
            </w:r>
            <w:r>
              <w:rPr>
                <w:rFonts w:hint="eastAsia" w:ascii="仿宋" w:hAnsi="仿宋" w:eastAsia="仿宋" w:cs="仿宋"/>
                <w:color w:val="auto"/>
                <w:spacing w:val="-5"/>
                <w:sz w:val="24"/>
                <w:szCs w:val="24"/>
              </w:rPr>
              <w:t xml:space="preserve">法定代表人身份及授权委托书、营业执照、业绩合同扫描件盖公章寄至芜湖市鸠江区国泰路8号中铁设计广场，收件人：张工，联系电话：18155398729；相关附件扫描件发送至邮箱：389788120@qq.com。 </w:t>
            </w:r>
          </w:p>
        </w:tc>
      </w:tr>
      <w:tr w14:paraId="141D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31A798B1">
            <w:pPr>
              <w:jc w:val="center"/>
              <w:rPr>
                <w:rFonts w:ascii="宋体"/>
                <w:bCs/>
                <w:sz w:val="24"/>
                <w:szCs w:val="24"/>
              </w:rPr>
            </w:pPr>
            <w:r>
              <w:rPr>
                <w:rFonts w:hint="eastAsia" w:ascii="宋体"/>
                <w:bCs/>
                <w:sz w:val="24"/>
                <w:szCs w:val="24"/>
              </w:rPr>
              <w:t>报价单位（盖单位公章）</w:t>
            </w:r>
          </w:p>
        </w:tc>
        <w:tc>
          <w:tcPr>
            <w:tcW w:w="7686" w:type="dxa"/>
            <w:vAlign w:val="center"/>
          </w:tcPr>
          <w:p w14:paraId="68691B9D">
            <w:pPr>
              <w:ind w:firstLine="490"/>
              <w:jc w:val="center"/>
              <w:rPr>
                <w:rFonts w:ascii="宋体"/>
                <w:bCs/>
                <w:sz w:val="24"/>
                <w:szCs w:val="24"/>
              </w:rPr>
            </w:pPr>
          </w:p>
        </w:tc>
      </w:tr>
      <w:tr w14:paraId="5C28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76D301D0">
            <w:pPr>
              <w:jc w:val="center"/>
              <w:rPr>
                <w:rFonts w:ascii="宋体"/>
                <w:bCs/>
                <w:sz w:val="24"/>
                <w:szCs w:val="24"/>
              </w:rPr>
            </w:pPr>
            <w:r>
              <w:rPr>
                <w:rFonts w:hint="eastAsia" w:ascii="宋体"/>
                <w:bCs/>
                <w:sz w:val="24"/>
                <w:szCs w:val="24"/>
              </w:rPr>
              <w:t>法定代表人（签字或盖章）</w:t>
            </w:r>
          </w:p>
        </w:tc>
        <w:tc>
          <w:tcPr>
            <w:tcW w:w="7686" w:type="dxa"/>
            <w:vAlign w:val="center"/>
          </w:tcPr>
          <w:p w14:paraId="1E4D5B8B">
            <w:pPr>
              <w:ind w:firstLine="570"/>
              <w:jc w:val="center"/>
              <w:rPr>
                <w:rFonts w:ascii="宋体"/>
                <w:bCs/>
                <w:sz w:val="24"/>
                <w:szCs w:val="24"/>
              </w:rPr>
            </w:pPr>
          </w:p>
        </w:tc>
      </w:tr>
      <w:tr w14:paraId="46BE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755" w:type="dxa"/>
            <w:vAlign w:val="center"/>
          </w:tcPr>
          <w:p w14:paraId="32D4A993">
            <w:pPr>
              <w:jc w:val="center"/>
              <w:rPr>
                <w:rFonts w:ascii="宋体"/>
                <w:bCs/>
                <w:sz w:val="24"/>
                <w:szCs w:val="24"/>
              </w:rPr>
            </w:pPr>
            <w:r>
              <w:rPr>
                <w:rFonts w:hint="eastAsia" w:ascii="宋体"/>
                <w:bCs/>
                <w:sz w:val="24"/>
                <w:szCs w:val="24"/>
              </w:rPr>
              <w:t>法定代表人或委托代理人联系方式</w:t>
            </w:r>
          </w:p>
        </w:tc>
        <w:tc>
          <w:tcPr>
            <w:tcW w:w="7686" w:type="dxa"/>
            <w:vAlign w:val="center"/>
          </w:tcPr>
          <w:p w14:paraId="0609AA63">
            <w:pPr>
              <w:ind w:firstLine="570"/>
              <w:jc w:val="center"/>
              <w:rPr>
                <w:rFonts w:ascii="宋体"/>
                <w:bCs/>
                <w:sz w:val="24"/>
                <w:szCs w:val="24"/>
              </w:rPr>
            </w:pPr>
          </w:p>
        </w:tc>
      </w:tr>
    </w:tbl>
    <w:p w14:paraId="0AFC0EB4">
      <w:pPr>
        <w:ind w:right="280" w:firstLine="570"/>
        <w:jc w:val="right"/>
        <w:rPr>
          <w:rFonts w:ascii="宋体"/>
          <w:bCs/>
          <w:sz w:val="24"/>
          <w:szCs w:val="24"/>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CED0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2E39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1587">
    <w:pPr>
      <w:spacing w:line="384" w:lineRule="exact"/>
      <w:ind w:firstLine="65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04DB2"/>
    <w:multiLevelType w:val="singleLevel"/>
    <w:tmpl w:val="BB904DB2"/>
    <w:lvl w:ilvl="0" w:tentative="0">
      <w:start w:val="1"/>
      <w:numFmt w:val="chineseCounting"/>
      <w:suff w:val="nothing"/>
      <w:lvlText w:val="%1、"/>
      <w:lvlJc w:val="left"/>
      <w:rPr>
        <w:rFonts w:hint="eastAsia"/>
      </w:rPr>
    </w:lvl>
  </w:abstractNum>
  <w:abstractNum w:abstractNumId="1">
    <w:nsid w:val="66B4B482"/>
    <w:multiLevelType w:val="singleLevel"/>
    <w:tmpl w:val="66B4B48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969A0"/>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219A"/>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9E612C"/>
    <w:rsid w:val="00A116C3"/>
    <w:rsid w:val="00A32D64"/>
    <w:rsid w:val="00A3301B"/>
    <w:rsid w:val="00A3594A"/>
    <w:rsid w:val="00A37574"/>
    <w:rsid w:val="00A53970"/>
    <w:rsid w:val="00A65DEB"/>
    <w:rsid w:val="00A67929"/>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1347A59"/>
    <w:rsid w:val="02470227"/>
    <w:rsid w:val="03741781"/>
    <w:rsid w:val="040365C4"/>
    <w:rsid w:val="042B2815"/>
    <w:rsid w:val="07A10E41"/>
    <w:rsid w:val="086E66BC"/>
    <w:rsid w:val="08F16BF7"/>
    <w:rsid w:val="0AB31E32"/>
    <w:rsid w:val="0BB9723B"/>
    <w:rsid w:val="0D547CAF"/>
    <w:rsid w:val="0FDF38B2"/>
    <w:rsid w:val="100D394F"/>
    <w:rsid w:val="10956C90"/>
    <w:rsid w:val="10D632AA"/>
    <w:rsid w:val="11381CCE"/>
    <w:rsid w:val="126E4279"/>
    <w:rsid w:val="129412D0"/>
    <w:rsid w:val="12AA750F"/>
    <w:rsid w:val="130356F8"/>
    <w:rsid w:val="13281001"/>
    <w:rsid w:val="132F5C1B"/>
    <w:rsid w:val="133F4A0B"/>
    <w:rsid w:val="14370330"/>
    <w:rsid w:val="16791D57"/>
    <w:rsid w:val="168908BF"/>
    <w:rsid w:val="16F06506"/>
    <w:rsid w:val="17345C65"/>
    <w:rsid w:val="17F026C4"/>
    <w:rsid w:val="1AEF5DBD"/>
    <w:rsid w:val="1D113CA3"/>
    <w:rsid w:val="1DB4301A"/>
    <w:rsid w:val="1E4B43BF"/>
    <w:rsid w:val="1F83559B"/>
    <w:rsid w:val="217A702E"/>
    <w:rsid w:val="21FC3324"/>
    <w:rsid w:val="223668C7"/>
    <w:rsid w:val="231B37F2"/>
    <w:rsid w:val="24CA3807"/>
    <w:rsid w:val="25AA6854"/>
    <w:rsid w:val="262A7CEB"/>
    <w:rsid w:val="26A72EF0"/>
    <w:rsid w:val="28576A76"/>
    <w:rsid w:val="28B74948"/>
    <w:rsid w:val="28B824BA"/>
    <w:rsid w:val="28DE0BF0"/>
    <w:rsid w:val="2A0403B1"/>
    <w:rsid w:val="2A133164"/>
    <w:rsid w:val="2A8D66C0"/>
    <w:rsid w:val="2AF75232"/>
    <w:rsid w:val="2C663A71"/>
    <w:rsid w:val="2CAB47C4"/>
    <w:rsid w:val="2D216834"/>
    <w:rsid w:val="2DE15EF7"/>
    <w:rsid w:val="32017766"/>
    <w:rsid w:val="327D271A"/>
    <w:rsid w:val="343E6762"/>
    <w:rsid w:val="34D04DC8"/>
    <w:rsid w:val="34DE252E"/>
    <w:rsid w:val="34F061AC"/>
    <w:rsid w:val="35080547"/>
    <w:rsid w:val="35702107"/>
    <w:rsid w:val="36385895"/>
    <w:rsid w:val="36A41884"/>
    <w:rsid w:val="37654FEB"/>
    <w:rsid w:val="376B0DD8"/>
    <w:rsid w:val="37D72911"/>
    <w:rsid w:val="385B0C19"/>
    <w:rsid w:val="39600231"/>
    <w:rsid w:val="39645912"/>
    <w:rsid w:val="397A75A1"/>
    <w:rsid w:val="3B67679C"/>
    <w:rsid w:val="3CF76C48"/>
    <w:rsid w:val="3D336CAF"/>
    <w:rsid w:val="3D726476"/>
    <w:rsid w:val="3E1737AE"/>
    <w:rsid w:val="3E651794"/>
    <w:rsid w:val="3F226B9C"/>
    <w:rsid w:val="3F280F23"/>
    <w:rsid w:val="40210A5E"/>
    <w:rsid w:val="40235889"/>
    <w:rsid w:val="40E165AE"/>
    <w:rsid w:val="42671CC4"/>
    <w:rsid w:val="427E0CD7"/>
    <w:rsid w:val="430E2224"/>
    <w:rsid w:val="448B238B"/>
    <w:rsid w:val="45440FC3"/>
    <w:rsid w:val="456A41E6"/>
    <w:rsid w:val="46063934"/>
    <w:rsid w:val="47264DE1"/>
    <w:rsid w:val="4C595737"/>
    <w:rsid w:val="4E533316"/>
    <w:rsid w:val="4EC4584C"/>
    <w:rsid w:val="51BB5923"/>
    <w:rsid w:val="51FC3A07"/>
    <w:rsid w:val="535B5D4C"/>
    <w:rsid w:val="556231B1"/>
    <w:rsid w:val="557A0D51"/>
    <w:rsid w:val="565B7C64"/>
    <w:rsid w:val="5683065D"/>
    <w:rsid w:val="568B0FC1"/>
    <w:rsid w:val="57402CD7"/>
    <w:rsid w:val="59170968"/>
    <w:rsid w:val="59577D76"/>
    <w:rsid w:val="59B61F2F"/>
    <w:rsid w:val="59E60EA2"/>
    <w:rsid w:val="5A407A4A"/>
    <w:rsid w:val="5A9B517B"/>
    <w:rsid w:val="5B140ECB"/>
    <w:rsid w:val="5C1C2F47"/>
    <w:rsid w:val="5C59205D"/>
    <w:rsid w:val="5E081669"/>
    <w:rsid w:val="5FC03B07"/>
    <w:rsid w:val="60E93263"/>
    <w:rsid w:val="62B32C15"/>
    <w:rsid w:val="645A766A"/>
    <w:rsid w:val="646D3B32"/>
    <w:rsid w:val="64B612A3"/>
    <w:rsid w:val="64BE25DF"/>
    <w:rsid w:val="666E0712"/>
    <w:rsid w:val="670F36E0"/>
    <w:rsid w:val="67706D6E"/>
    <w:rsid w:val="67A17FA7"/>
    <w:rsid w:val="68CE3A19"/>
    <w:rsid w:val="6A2F2FB0"/>
    <w:rsid w:val="6ADA17F5"/>
    <w:rsid w:val="6D157FF8"/>
    <w:rsid w:val="6D88378A"/>
    <w:rsid w:val="6F0052F8"/>
    <w:rsid w:val="713640A3"/>
    <w:rsid w:val="714F1609"/>
    <w:rsid w:val="738932C5"/>
    <w:rsid w:val="73AD5CF9"/>
    <w:rsid w:val="73F52812"/>
    <w:rsid w:val="753E4A59"/>
    <w:rsid w:val="75522D32"/>
    <w:rsid w:val="76327EF9"/>
    <w:rsid w:val="77414446"/>
    <w:rsid w:val="779F3BC8"/>
    <w:rsid w:val="7885276D"/>
    <w:rsid w:val="78D53A31"/>
    <w:rsid w:val="78F82D64"/>
    <w:rsid w:val="790A599B"/>
    <w:rsid w:val="79DD7770"/>
    <w:rsid w:val="79FA3F2A"/>
    <w:rsid w:val="7A156CE7"/>
    <w:rsid w:val="7B71118C"/>
    <w:rsid w:val="7BB2603A"/>
    <w:rsid w:val="7BC41E31"/>
    <w:rsid w:val="7BC95FF1"/>
    <w:rsid w:val="7C0612CE"/>
    <w:rsid w:val="7DDD71DA"/>
    <w:rsid w:val="7E5C6BE5"/>
    <w:rsid w:val="7F601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2"/>
    <w:basedOn w:val="1"/>
    <w:next w:val="1"/>
    <w:semiHidden/>
    <w:unhideWhenUsed/>
    <w:qFormat/>
    <w:uiPriority w:val="9"/>
    <w:pPr>
      <w:spacing w:beforeAutospacing="1" w:afterAutospacing="1"/>
      <w:outlineLvl w:val="1"/>
    </w:pPr>
    <w:rPr>
      <w:rFonts w:hint="eastAsia" w:ascii="宋体" w:hAnsi="宋体" w:eastAsia="宋体" w:cs="Times New Roman"/>
      <w:b/>
      <w:bCs/>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Body Text"/>
    <w:basedOn w:val="1"/>
    <w:autoRedefine/>
    <w:qFormat/>
    <w:uiPriority w:val="0"/>
    <w:pPr>
      <w:textAlignment w:val="auto"/>
    </w:pPr>
    <w:rPr>
      <w:spacing w:val="10"/>
    </w:rPr>
  </w:style>
  <w:style w:type="paragraph" w:styleId="5">
    <w:name w:val="Balloon Text"/>
    <w:basedOn w:val="1"/>
    <w:link w:val="18"/>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jc w:val="center"/>
    </w:pPr>
    <w:rPr>
      <w:sz w:val="18"/>
      <w:szCs w:val="18"/>
    </w:rPr>
  </w:style>
  <w:style w:type="paragraph" w:styleId="8">
    <w:name w:val="Body Text First Indent"/>
    <w:basedOn w:val="4"/>
    <w:autoRedefine/>
    <w:qFormat/>
    <w:uiPriority w:val="0"/>
    <w:pPr>
      <w:autoSpaceDE/>
      <w:autoSpaceDN/>
      <w:spacing w:after="120"/>
      <w:ind w:firstLine="420" w:firstLineChars="100"/>
      <w:textAlignment w:val="baseline"/>
    </w:pPr>
    <w:rPr>
      <w:spacing w:val="0"/>
    </w:r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character" w:customStyle="1" w:styleId="14">
    <w:name w:val="页眉 字符"/>
    <w:basedOn w:val="10"/>
    <w:link w:val="7"/>
    <w:autoRedefine/>
    <w:qFormat/>
    <w:uiPriority w:val="99"/>
    <w:rPr>
      <w:sz w:val="18"/>
      <w:szCs w:val="18"/>
    </w:rPr>
  </w:style>
  <w:style w:type="character" w:customStyle="1" w:styleId="15">
    <w:name w:val="页脚 字符"/>
    <w:basedOn w:val="10"/>
    <w:link w:val="6"/>
    <w:autoRedefine/>
    <w:qFormat/>
    <w:uiPriority w:val="99"/>
    <w:rPr>
      <w:sz w:val="18"/>
      <w:szCs w:val="18"/>
    </w:rPr>
  </w:style>
  <w:style w:type="paragraph" w:customStyle="1" w:styleId="16">
    <w:name w:val="样式1"/>
    <w:basedOn w:val="1"/>
    <w:link w:val="17"/>
    <w:autoRedefine/>
    <w:qFormat/>
    <w:uiPriority w:val="0"/>
    <w:pPr>
      <w:spacing w:line="360" w:lineRule="auto"/>
      <w:ind w:firstLine="560" w:firstLineChars="200"/>
    </w:pPr>
    <w:rPr>
      <w:rFonts w:ascii="宋体" w:hAnsi="宋体"/>
      <w:sz w:val="28"/>
      <w:szCs w:val="22"/>
    </w:rPr>
  </w:style>
  <w:style w:type="character" w:customStyle="1" w:styleId="17">
    <w:name w:val="样式1 字符"/>
    <w:basedOn w:val="10"/>
    <w:link w:val="16"/>
    <w:autoRedefine/>
    <w:qFormat/>
    <w:uiPriority w:val="0"/>
    <w:rPr>
      <w:rFonts w:ascii="宋体" w:hAnsi="宋体" w:cs="Arial" w:eastAsiaTheme="minorEastAsia"/>
      <w:snapToGrid w:val="0"/>
      <w:color w:val="000000"/>
      <w:sz w:val="28"/>
      <w:szCs w:val="22"/>
    </w:rPr>
  </w:style>
  <w:style w:type="character" w:customStyle="1" w:styleId="18">
    <w:name w:val="批注框文本 字符"/>
    <w:basedOn w:val="10"/>
    <w:link w:val="5"/>
    <w:semiHidden/>
    <w:qFormat/>
    <w:uiPriority w:val="99"/>
    <w:rPr>
      <w:rFonts w:ascii="Arial" w:hAnsi="Arial" w:cs="Arial" w:eastAsiaTheme="minorEastAsia"/>
      <w:snapToGrid w:val="0"/>
      <w:color w:val="000000"/>
      <w:sz w:val="18"/>
      <w:szCs w:val="18"/>
    </w:rPr>
  </w:style>
  <w:style w:type="character" w:customStyle="1" w:styleId="19">
    <w:name w:val="文档结构图 字符"/>
    <w:basedOn w:val="10"/>
    <w:link w:val="3"/>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EC25-26D1-4C25-9543-2C508ADDC11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3339</Words>
  <Characters>3652</Characters>
  <Lines>28</Lines>
  <Paragraphs>8</Paragraphs>
  <TotalTime>207</TotalTime>
  <ScaleCrop>false</ScaleCrop>
  <LinksUpToDate>false</LinksUpToDate>
  <CharactersWithSpaces>3829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2026-06-25T03:13:00Z</dcterms:created>
  <dc:creator>孙鹏</dc:creator>
  <cp:lastModifiedBy>千寻</cp:lastModifiedBy>
  <cp:lastPrinted>2025-06-25T09:08:00Z</cp:lastPrinted>
  <dcterms:modified xsi:type="dcterms:W3CDTF">2026-06-29T06:54:22Z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2052-12.1.0.26895</vt:lpwstr>
  </property>
  <property fmtid="{D5CDD505-2E9C-101B-9397-08002B2CF9AE}" pid="5" name="ICV">
    <vt:lpwstr>D4C4F3F7838D449D9236B8573D309617_13</vt:lpwstr>
  </property>
  <property fmtid="{D5CDD505-2E9C-101B-9397-08002B2CF9AE}" pid="6" name="KSOTemplateDocerSaveRecord">
    <vt:lpwstr>eyJoZGlkIjoiYTBkOGQzNDQzYzg3Nzc5OTVmNTQ2YzkwZmQ1ZTQyODQiLCJ1c2VySWQiOiI0NDMzODQ1MTYifQ==</vt:lpwstr>
  </property>
</Properties>
</file>